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52AC54" w14:textId="085E7918" w:rsidR="007C7D41" w:rsidRPr="00AC1047" w:rsidRDefault="00927D0D">
      <w:pPr>
        <w:spacing w:after="0"/>
        <w:jc w:val="center"/>
        <w:rPr>
          <w:rFonts w:asciiTheme="minorHAnsi" w:hAnsiTheme="minorHAnsi"/>
          <w:sz w:val="21"/>
          <w:szCs w:val="22"/>
        </w:rPr>
      </w:pPr>
      <w:r w:rsidRPr="00AC1047">
        <w:rPr>
          <w:rFonts w:asciiTheme="minorHAnsi" w:hAnsiTheme="minorHAnsi"/>
          <w:b/>
          <w:sz w:val="28"/>
          <w:szCs w:val="32"/>
        </w:rPr>
        <w:t>Pozměňovací návrh</w:t>
      </w:r>
      <w:r w:rsidR="000D160A" w:rsidRPr="00AC1047">
        <w:rPr>
          <w:rFonts w:asciiTheme="minorHAnsi" w:hAnsiTheme="minorHAnsi"/>
          <w:b/>
          <w:sz w:val="28"/>
          <w:szCs w:val="32"/>
        </w:rPr>
        <w:t xml:space="preserve"> </w:t>
      </w:r>
      <w:r w:rsidRPr="00AC1047">
        <w:rPr>
          <w:rFonts w:asciiTheme="minorHAnsi" w:hAnsiTheme="minorHAnsi"/>
          <w:b/>
          <w:sz w:val="28"/>
          <w:szCs w:val="32"/>
        </w:rPr>
        <w:t>k návrhu zákona, kterým se mění zákon č. 48/1997 Sb., o veřejném zdravotním pojištění</w:t>
      </w:r>
    </w:p>
    <w:p w14:paraId="60A9E263" w14:textId="2B583462" w:rsidR="007C7D41" w:rsidRPr="00312030" w:rsidRDefault="00312030">
      <w:pPr>
        <w:spacing w:after="0"/>
        <w:jc w:val="center"/>
        <w:rPr>
          <w:rFonts w:asciiTheme="minorHAnsi" w:hAnsiTheme="minorHAnsi"/>
          <w:b/>
          <w:sz w:val="21"/>
        </w:rPr>
      </w:pPr>
      <w:r>
        <w:rPr>
          <w:rFonts w:asciiTheme="minorHAnsi" w:hAnsiTheme="minorHAnsi"/>
          <w:sz w:val="24"/>
          <w:szCs w:val="22"/>
        </w:rPr>
        <w:br/>
      </w:r>
      <w:r w:rsidRPr="00312030">
        <w:rPr>
          <w:rFonts w:asciiTheme="minorHAnsi" w:hAnsiTheme="minorHAnsi"/>
          <w:b/>
          <w:sz w:val="24"/>
          <w:szCs w:val="22"/>
        </w:rPr>
        <w:t>Sněmovní</w:t>
      </w:r>
      <w:r w:rsidR="00927D0D" w:rsidRPr="00312030">
        <w:rPr>
          <w:rFonts w:asciiTheme="minorHAnsi" w:hAnsiTheme="minorHAnsi"/>
          <w:b/>
          <w:sz w:val="24"/>
          <w:szCs w:val="22"/>
        </w:rPr>
        <w:t xml:space="preserve"> tisk </w:t>
      </w:r>
      <w:r w:rsidR="000D160A" w:rsidRPr="00312030">
        <w:rPr>
          <w:rFonts w:asciiTheme="minorHAnsi" w:hAnsiTheme="minorHAnsi"/>
          <w:b/>
          <w:sz w:val="24"/>
          <w:szCs w:val="22"/>
        </w:rPr>
        <w:t>199</w:t>
      </w:r>
      <w:r w:rsidR="00927D0D" w:rsidRPr="00312030">
        <w:rPr>
          <w:rFonts w:asciiTheme="minorHAnsi" w:hAnsiTheme="minorHAnsi"/>
          <w:b/>
          <w:sz w:val="36"/>
          <w:szCs w:val="32"/>
        </w:rPr>
        <w:t xml:space="preserve"> </w:t>
      </w:r>
    </w:p>
    <w:p w14:paraId="705EE1EE" w14:textId="77777777" w:rsidR="007C7D41" w:rsidRPr="00172F6F" w:rsidRDefault="007C7D41">
      <w:pPr>
        <w:jc w:val="both"/>
        <w:rPr>
          <w:rFonts w:asciiTheme="minorHAnsi" w:hAnsiTheme="minorHAnsi"/>
        </w:rPr>
      </w:pPr>
    </w:p>
    <w:p w14:paraId="030E4BDE" w14:textId="48B98CE9" w:rsidR="007C7D41" w:rsidRDefault="00115E76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1. </w:t>
      </w:r>
      <w:r w:rsidR="00927D0D" w:rsidRPr="00172F6F">
        <w:rPr>
          <w:rFonts w:asciiTheme="minorHAnsi" w:hAnsiTheme="minorHAnsi"/>
          <w:sz w:val="22"/>
          <w:szCs w:val="22"/>
        </w:rPr>
        <w:t xml:space="preserve">V čl. I </w:t>
      </w:r>
      <w:r w:rsidR="00EE77A5">
        <w:rPr>
          <w:rFonts w:asciiTheme="minorHAnsi" w:hAnsiTheme="minorHAnsi"/>
          <w:sz w:val="22"/>
          <w:szCs w:val="22"/>
        </w:rPr>
        <w:t xml:space="preserve">se </w:t>
      </w:r>
      <w:r w:rsidR="00927D0D" w:rsidRPr="00172F6F">
        <w:rPr>
          <w:rFonts w:asciiTheme="minorHAnsi" w:hAnsiTheme="minorHAnsi"/>
          <w:sz w:val="22"/>
          <w:szCs w:val="22"/>
        </w:rPr>
        <w:t xml:space="preserve">bod </w:t>
      </w:r>
      <w:r w:rsidR="00312030">
        <w:rPr>
          <w:rFonts w:asciiTheme="minorHAnsi" w:hAnsiTheme="minorHAnsi"/>
          <w:sz w:val="22"/>
          <w:szCs w:val="22"/>
        </w:rPr>
        <w:t>13</w:t>
      </w:r>
      <w:r w:rsidR="00927D0D" w:rsidRPr="00172F6F">
        <w:rPr>
          <w:rFonts w:asciiTheme="minorHAnsi" w:hAnsiTheme="minorHAnsi"/>
          <w:sz w:val="22"/>
          <w:szCs w:val="22"/>
        </w:rPr>
        <w:t xml:space="preserve"> návrhu zákona</w:t>
      </w:r>
      <w:r w:rsidR="00EE77A5">
        <w:rPr>
          <w:rFonts w:asciiTheme="minorHAnsi" w:hAnsiTheme="minorHAnsi"/>
          <w:sz w:val="22"/>
          <w:szCs w:val="22"/>
        </w:rPr>
        <w:t xml:space="preserve"> upravuje tak, že</w:t>
      </w:r>
      <w:r w:rsidR="00927D0D" w:rsidRPr="00172F6F">
        <w:rPr>
          <w:rFonts w:asciiTheme="minorHAnsi" w:hAnsiTheme="minorHAnsi"/>
          <w:sz w:val="22"/>
          <w:szCs w:val="22"/>
        </w:rPr>
        <w:t xml:space="preserve"> </w:t>
      </w:r>
      <w:r w:rsidR="008A1CA8">
        <w:rPr>
          <w:rFonts w:asciiTheme="minorHAnsi" w:hAnsiTheme="minorHAnsi"/>
          <w:sz w:val="22"/>
          <w:szCs w:val="22"/>
        </w:rPr>
        <w:t>v Příloze č. 3 k zákonu č. 48/1997 Sb.</w:t>
      </w:r>
      <w:r w:rsidR="00EE77A5">
        <w:rPr>
          <w:rFonts w:asciiTheme="minorHAnsi" w:hAnsiTheme="minorHAnsi"/>
          <w:sz w:val="22"/>
          <w:szCs w:val="22"/>
        </w:rPr>
        <w:t xml:space="preserve">, oddílu C, tabulce č. 1, řádek označený číselným kódem </w:t>
      </w:r>
      <w:r w:rsidR="00EE77A5" w:rsidRPr="00EE77A5">
        <w:rPr>
          <w:rFonts w:asciiTheme="minorHAnsi" w:hAnsiTheme="minorHAnsi"/>
          <w:sz w:val="22"/>
          <w:szCs w:val="22"/>
        </w:rPr>
        <w:t>05.03.04</w:t>
      </w:r>
      <w:r>
        <w:rPr>
          <w:rFonts w:asciiTheme="minorHAnsi" w:hAnsiTheme="minorHAnsi"/>
          <w:sz w:val="22"/>
          <w:szCs w:val="22"/>
        </w:rPr>
        <w:t xml:space="preserve"> zní:</w:t>
      </w:r>
    </w:p>
    <w:tbl>
      <w:tblPr>
        <w:tblW w:w="14877" w:type="dxa"/>
        <w:tblInd w:w="-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2835"/>
        <w:gridCol w:w="1988"/>
        <w:gridCol w:w="1985"/>
        <w:gridCol w:w="2409"/>
        <w:gridCol w:w="1701"/>
        <w:gridCol w:w="1701"/>
        <w:gridCol w:w="1129"/>
      </w:tblGrid>
      <w:tr w:rsidR="00115E76" w:rsidRPr="00C14361" w14:paraId="5585D20B" w14:textId="77777777" w:rsidTr="00115E76">
        <w:trPr>
          <w:trHeight w:val="260"/>
        </w:trPr>
        <w:tc>
          <w:tcPr>
            <w:tcW w:w="1129" w:type="dxa"/>
            <w:shd w:val="clear" w:color="000000" w:fill="FFFFFF"/>
            <w:hideMark/>
          </w:tcPr>
          <w:p w14:paraId="475CEE2A" w14:textId="77777777" w:rsidR="00115E76" w:rsidRPr="00C14361" w:rsidRDefault="00115E76" w:rsidP="00EF0F7E">
            <w:pPr>
              <w:rPr>
                <w:sz w:val="18"/>
                <w:szCs w:val="18"/>
              </w:rPr>
            </w:pPr>
            <w:r w:rsidRPr="00C14361">
              <w:rPr>
                <w:sz w:val="18"/>
                <w:szCs w:val="18"/>
              </w:rPr>
              <w:t>05.03.04</w:t>
            </w:r>
          </w:p>
        </w:tc>
        <w:tc>
          <w:tcPr>
            <w:tcW w:w="2835" w:type="dxa"/>
            <w:shd w:val="clear" w:color="000000" w:fill="FFFFFF"/>
            <w:hideMark/>
          </w:tcPr>
          <w:p w14:paraId="5329A583" w14:textId="3407074D" w:rsidR="00115E76" w:rsidRPr="00C14361" w:rsidRDefault="00115E76" w:rsidP="00EF0F7E">
            <w:pPr>
              <w:rPr>
                <w:sz w:val="18"/>
                <w:szCs w:val="18"/>
              </w:rPr>
            </w:pPr>
            <w:r w:rsidRPr="00C14361">
              <w:rPr>
                <w:sz w:val="18"/>
                <w:szCs w:val="18"/>
              </w:rPr>
              <w:t xml:space="preserve">ZP pro subkutánní </w:t>
            </w:r>
            <w:r>
              <w:rPr>
                <w:sz w:val="18"/>
                <w:szCs w:val="18"/>
              </w:rPr>
              <w:t xml:space="preserve">a intravenózní </w:t>
            </w:r>
            <w:r w:rsidRPr="00C14361">
              <w:rPr>
                <w:sz w:val="18"/>
                <w:szCs w:val="18"/>
              </w:rPr>
              <w:t>aplikaci léčiva</w:t>
            </w:r>
          </w:p>
        </w:tc>
        <w:tc>
          <w:tcPr>
            <w:tcW w:w="1988" w:type="dxa"/>
            <w:shd w:val="clear" w:color="000000" w:fill="FFFFFF"/>
            <w:vAlign w:val="center"/>
            <w:hideMark/>
          </w:tcPr>
          <w:p w14:paraId="7FBF6DC6" w14:textId="77777777" w:rsidR="00115E76" w:rsidRPr="00C14361" w:rsidRDefault="00115E76" w:rsidP="00EF0F7E">
            <w:pPr>
              <w:jc w:val="center"/>
              <w:rPr>
                <w:sz w:val="18"/>
                <w:szCs w:val="18"/>
              </w:rPr>
            </w:pPr>
            <w:r w:rsidRPr="00C14361"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6DE3474D" w14:textId="77777777" w:rsidR="00115E76" w:rsidRPr="00C14361" w:rsidRDefault="00115E76" w:rsidP="00EF0F7E">
            <w:pPr>
              <w:jc w:val="center"/>
              <w:rPr>
                <w:sz w:val="18"/>
                <w:szCs w:val="18"/>
              </w:rPr>
            </w:pPr>
            <w:r w:rsidRPr="00C14361">
              <w:rPr>
                <w:sz w:val="18"/>
                <w:szCs w:val="18"/>
              </w:rPr>
              <w:t> 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14:paraId="43335746" w14:textId="77777777" w:rsidR="00115E76" w:rsidRPr="00C14361" w:rsidRDefault="00115E76" w:rsidP="00EF0F7E">
            <w:pPr>
              <w:jc w:val="center"/>
              <w:rPr>
                <w:sz w:val="18"/>
                <w:szCs w:val="18"/>
              </w:rPr>
            </w:pPr>
            <w:r w:rsidRPr="00C14361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3A7ED7A" w14:textId="77777777" w:rsidR="00115E76" w:rsidRPr="00C14361" w:rsidRDefault="00115E76" w:rsidP="00EF0F7E">
            <w:pPr>
              <w:jc w:val="center"/>
              <w:rPr>
                <w:sz w:val="18"/>
                <w:szCs w:val="18"/>
              </w:rPr>
            </w:pPr>
            <w:r w:rsidRPr="00C14361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C4E1B03" w14:textId="77777777" w:rsidR="00115E76" w:rsidRPr="00C14361" w:rsidRDefault="00115E76" w:rsidP="00EF0F7E">
            <w:pPr>
              <w:jc w:val="center"/>
              <w:rPr>
                <w:sz w:val="18"/>
                <w:szCs w:val="18"/>
              </w:rPr>
            </w:pPr>
            <w:r w:rsidRPr="00C14361">
              <w:rPr>
                <w:sz w:val="18"/>
                <w:szCs w:val="18"/>
              </w:rPr>
              <w:t> </w:t>
            </w:r>
          </w:p>
        </w:tc>
        <w:tc>
          <w:tcPr>
            <w:tcW w:w="1129" w:type="dxa"/>
            <w:shd w:val="clear" w:color="000000" w:fill="FFFFFF"/>
            <w:vAlign w:val="center"/>
            <w:hideMark/>
          </w:tcPr>
          <w:p w14:paraId="5B6F3D0C" w14:textId="77777777" w:rsidR="00115E76" w:rsidRPr="00C14361" w:rsidRDefault="00115E76" w:rsidP="00EF0F7E">
            <w:pPr>
              <w:jc w:val="center"/>
              <w:rPr>
                <w:sz w:val="18"/>
                <w:szCs w:val="18"/>
              </w:rPr>
            </w:pPr>
            <w:r w:rsidRPr="00C14361">
              <w:rPr>
                <w:sz w:val="18"/>
                <w:szCs w:val="18"/>
              </w:rPr>
              <w:t> </w:t>
            </w:r>
          </w:p>
        </w:tc>
      </w:tr>
    </w:tbl>
    <w:p w14:paraId="59618E63" w14:textId="77777777" w:rsidR="00115E76" w:rsidRDefault="00115E76">
      <w:pPr>
        <w:rPr>
          <w:rFonts w:asciiTheme="minorHAnsi" w:hAnsiTheme="minorHAnsi"/>
          <w:sz w:val="22"/>
          <w:szCs w:val="22"/>
        </w:rPr>
      </w:pPr>
    </w:p>
    <w:p w14:paraId="0EA05578" w14:textId="38A021DA" w:rsidR="00115E76" w:rsidRPr="00172F6F" w:rsidRDefault="00115E76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2. </w:t>
      </w:r>
      <w:r w:rsidRPr="00172F6F">
        <w:rPr>
          <w:rFonts w:asciiTheme="minorHAnsi" w:hAnsiTheme="minorHAnsi"/>
          <w:sz w:val="22"/>
          <w:szCs w:val="22"/>
        </w:rPr>
        <w:t xml:space="preserve">V čl. I </w:t>
      </w:r>
      <w:r>
        <w:rPr>
          <w:rFonts w:asciiTheme="minorHAnsi" w:hAnsiTheme="minorHAnsi"/>
          <w:sz w:val="22"/>
          <w:szCs w:val="22"/>
        </w:rPr>
        <w:t xml:space="preserve">se </w:t>
      </w:r>
      <w:r w:rsidRPr="00172F6F">
        <w:rPr>
          <w:rFonts w:asciiTheme="minorHAnsi" w:hAnsiTheme="minorHAnsi"/>
          <w:sz w:val="22"/>
          <w:szCs w:val="22"/>
        </w:rPr>
        <w:t xml:space="preserve">bod </w:t>
      </w:r>
      <w:r>
        <w:rPr>
          <w:rFonts w:asciiTheme="minorHAnsi" w:hAnsiTheme="minorHAnsi"/>
          <w:sz w:val="22"/>
          <w:szCs w:val="22"/>
        </w:rPr>
        <w:t>13</w:t>
      </w:r>
      <w:r w:rsidRPr="00172F6F">
        <w:rPr>
          <w:rFonts w:asciiTheme="minorHAnsi" w:hAnsiTheme="minorHAnsi"/>
          <w:sz w:val="22"/>
          <w:szCs w:val="22"/>
        </w:rPr>
        <w:t xml:space="preserve"> návrhu zákona</w:t>
      </w:r>
      <w:r>
        <w:rPr>
          <w:rFonts w:asciiTheme="minorHAnsi" w:hAnsiTheme="minorHAnsi"/>
          <w:sz w:val="22"/>
          <w:szCs w:val="22"/>
        </w:rPr>
        <w:t xml:space="preserve"> upravuje tak, že</w:t>
      </w:r>
      <w:r w:rsidRPr="00172F6F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v Příloze č. 3 k zákonu č. 48/1997 Sb., oddílu C, tabulce č. 1, se za řádek označený číselným kódem </w:t>
      </w:r>
      <w:r w:rsidRPr="00115E76">
        <w:rPr>
          <w:rFonts w:asciiTheme="minorHAnsi" w:hAnsiTheme="minorHAnsi"/>
          <w:sz w:val="22"/>
          <w:szCs w:val="22"/>
        </w:rPr>
        <w:t>05.03.04.01</w:t>
      </w:r>
      <w:r>
        <w:rPr>
          <w:rFonts w:asciiTheme="minorHAnsi" w:hAnsiTheme="minorHAnsi"/>
          <w:sz w:val="22"/>
          <w:szCs w:val="22"/>
        </w:rPr>
        <w:t xml:space="preserve"> vkládá řádek označený číselným kódem</w:t>
      </w:r>
      <w:r w:rsidRPr="00115E7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05.03.04.02, který zní:</w:t>
      </w:r>
    </w:p>
    <w:tbl>
      <w:tblPr>
        <w:tblW w:w="14885" w:type="dxa"/>
        <w:tblInd w:w="-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2835"/>
        <w:gridCol w:w="1985"/>
        <w:gridCol w:w="1984"/>
        <w:gridCol w:w="2410"/>
        <w:gridCol w:w="1701"/>
        <w:gridCol w:w="1701"/>
        <w:gridCol w:w="1134"/>
      </w:tblGrid>
      <w:tr w:rsidR="00B74B7F" w:rsidRPr="00C14361" w14:paraId="435A0C08" w14:textId="77777777" w:rsidTr="00B74B7F">
        <w:trPr>
          <w:trHeight w:val="520"/>
        </w:trPr>
        <w:tc>
          <w:tcPr>
            <w:tcW w:w="1135" w:type="dxa"/>
            <w:shd w:val="clear" w:color="000000" w:fill="FFFFFF"/>
            <w:hideMark/>
          </w:tcPr>
          <w:p w14:paraId="1C021742" w14:textId="54D7C1DA" w:rsidR="00B74B7F" w:rsidRPr="00C14361" w:rsidRDefault="00B74B7F" w:rsidP="00B74B7F">
            <w:pPr>
              <w:rPr>
                <w:sz w:val="18"/>
                <w:szCs w:val="18"/>
              </w:rPr>
            </w:pPr>
            <w:r w:rsidRPr="00C14361">
              <w:rPr>
                <w:sz w:val="18"/>
                <w:szCs w:val="18"/>
              </w:rPr>
              <w:t>05.03.0</w:t>
            </w:r>
            <w:r>
              <w:rPr>
                <w:sz w:val="18"/>
                <w:szCs w:val="18"/>
              </w:rPr>
              <w:t>4</w:t>
            </w:r>
            <w:r w:rsidRPr="00C14361">
              <w:rPr>
                <w:sz w:val="18"/>
                <w:szCs w:val="18"/>
              </w:rPr>
              <w:t>.02</w:t>
            </w:r>
          </w:p>
        </w:tc>
        <w:tc>
          <w:tcPr>
            <w:tcW w:w="2835" w:type="dxa"/>
            <w:shd w:val="clear" w:color="000000" w:fill="FFFFFF"/>
            <w:hideMark/>
          </w:tcPr>
          <w:p w14:paraId="17430603" w14:textId="3C6B09ED" w:rsidR="00B74B7F" w:rsidRPr="00C14361" w:rsidRDefault="002A55A2" w:rsidP="00EF0F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infu</w:t>
            </w:r>
            <w:r w:rsidR="00E01289">
              <w:rPr>
                <w:sz w:val="18"/>
                <w:szCs w:val="18"/>
              </w:rPr>
              <w:t>zní pumpy pro kontinuální intravenózní podávání léčiva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014A5C10" w14:textId="245FAE5F" w:rsidR="00B74B7F" w:rsidRPr="00C14361" w:rsidRDefault="00545299" w:rsidP="00EF0F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kontinuální podávání infúze; rychlost průtoku 1 až 3.000 ml denně; programování v ml 24 hod. denně 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1CBA836B" w14:textId="27994107" w:rsidR="00B74B7F" w:rsidRPr="00C14361" w:rsidRDefault="00E01289" w:rsidP="00EF0F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KAR</w:t>
            </w:r>
            <w:r w:rsidR="00A75C05" w:rsidRPr="00C14361">
              <w:rPr>
                <w:sz w:val="18"/>
                <w:szCs w:val="18"/>
              </w:rPr>
              <w:t>; po schválení revizním lékařem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14:paraId="3A505CCA" w14:textId="69DC7580" w:rsidR="00B74B7F" w:rsidRPr="00C14361" w:rsidRDefault="00E01289" w:rsidP="00EF0F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plicní arteriální hypertenze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8048A36" w14:textId="33CFB151" w:rsidR="00B74B7F" w:rsidRPr="00C14361" w:rsidRDefault="00E01289" w:rsidP="006D2D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B74B7F" w:rsidRPr="00C14361">
              <w:rPr>
                <w:sz w:val="18"/>
                <w:szCs w:val="18"/>
              </w:rPr>
              <w:t xml:space="preserve"> ks / </w:t>
            </w:r>
            <w:r w:rsidR="006D2D1D">
              <w:rPr>
                <w:sz w:val="18"/>
                <w:szCs w:val="18"/>
              </w:rPr>
              <w:t>2 roky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1370D17" w14:textId="4D8EDD03" w:rsidR="00B74B7F" w:rsidRPr="00C14361" w:rsidRDefault="00E01289" w:rsidP="00EF0F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100 %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7FDEC2B" w14:textId="565360C8" w:rsidR="00B74B7F" w:rsidRPr="00C14361" w:rsidRDefault="00E01289" w:rsidP="00EF0F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</w:tr>
    </w:tbl>
    <w:p w14:paraId="3876FDEB" w14:textId="115FA462" w:rsidR="007C7D41" w:rsidRPr="00172F6F" w:rsidRDefault="007C7D41" w:rsidP="009B3F0D">
      <w:pPr>
        <w:jc w:val="both"/>
        <w:rPr>
          <w:rFonts w:asciiTheme="minorHAnsi" w:hAnsiTheme="minorHAnsi"/>
          <w:bCs/>
          <w:sz w:val="22"/>
          <w:szCs w:val="22"/>
        </w:rPr>
      </w:pPr>
    </w:p>
    <w:p w14:paraId="092F7269" w14:textId="281354FE" w:rsidR="00545299" w:rsidRPr="00172F6F" w:rsidRDefault="00545299" w:rsidP="0054529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3. </w:t>
      </w:r>
      <w:r w:rsidRPr="00172F6F">
        <w:rPr>
          <w:rFonts w:asciiTheme="minorHAnsi" w:hAnsiTheme="minorHAnsi"/>
          <w:sz w:val="22"/>
          <w:szCs w:val="22"/>
        </w:rPr>
        <w:t xml:space="preserve">V čl. I </w:t>
      </w:r>
      <w:r>
        <w:rPr>
          <w:rFonts w:asciiTheme="minorHAnsi" w:hAnsiTheme="minorHAnsi"/>
          <w:sz w:val="22"/>
          <w:szCs w:val="22"/>
        </w:rPr>
        <w:t xml:space="preserve">se </w:t>
      </w:r>
      <w:r w:rsidRPr="00172F6F">
        <w:rPr>
          <w:rFonts w:asciiTheme="minorHAnsi" w:hAnsiTheme="minorHAnsi"/>
          <w:sz w:val="22"/>
          <w:szCs w:val="22"/>
        </w:rPr>
        <w:t xml:space="preserve">bod </w:t>
      </w:r>
      <w:r>
        <w:rPr>
          <w:rFonts w:asciiTheme="minorHAnsi" w:hAnsiTheme="minorHAnsi"/>
          <w:sz w:val="22"/>
          <w:szCs w:val="22"/>
        </w:rPr>
        <w:t>13</w:t>
      </w:r>
      <w:r w:rsidRPr="00172F6F">
        <w:rPr>
          <w:rFonts w:asciiTheme="minorHAnsi" w:hAnsiTheme="minorHAnsi"/>
          <w:sz w:val="22"/>
          <w:szCs w:val="22"/>
        </w:rPr>
        <w:t xml:space="preserve"> návrhu zákona</w:t>
      </w:r>
      <w:r>
        <w:rPr>
          <w:rFonts w:asciiTheme="minorHAnsi" w:hAnsiTheme="minorHAnsi"/>
          <w:sz w:val="22"/>
          <w:szCs w:val="22"/>
        </w:rPr>
        <w:t xml:space="preserve"> upravuje tak, že</w:t>
      </w:r>
      <w:r w:rsidRPr="00172F6F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v Příloze č. 3 k zákonu č. 48/1997 Sb., oddílu C, tabulce č. 1, se za řádek označený číselným kódem 05.03.05</w:t>
      </w:r>
      <w:r w:rsidRPr="00115E76">
        <w:rPr>
          <w:rFonts w:asciiTheme="minorHAnsi" w:hAnsiTheme="minorHAnsi"/>
          <w:sz w:val="22"/>
          <w:szCs w:val="22"/>
        </w:rPr>
        <w:t>.0</w:t>
      </w:r>
      <w:r>
        <w:rPr>
          <w:rFonts w:asciiTheme="minorHAnsi" w:hAnsiTheme="minorHAnsi"/>
          <w:sz w:val="22"/>
          <w:szCs w:val="22"/>
        </w:rPr>
        <w:t>7</w:t>
      </w:r>
      <w:r w:rsidR="00A75C05">
        <w:rPr>
          <w:rFonts w:asciiTheme="minorHAnsi" w:hAnsiTheme="minorHAnsi"/>
          <w:sz w:val="22"/>
          <w:szCs w:val="22"/>
        </w:rPr>
        <w:t xml:space="preserve"> vkládají řád</w:t>
      </w:r>
      <w:r>
        <w:rPr>
          <w:rFonts w:asciiTheme="minorHAnsi" w:hAnsiTheme="minorHAnsi"/>
          <w:sz w:val="22"/>
          <w:szCs w:val="22"/>
        </w:rPr>
        <w:t>k</w:t>
      </w:r>
      <w:r w:rsidR="00A75C05">
        <w:rPr>
          <w:rFonts w:asciiTheme="minorHAnsi" w:hAnsiTheme="minorHAnsi"/>
          <w:sz w:val="22"/>
          <w:szCs w:val="22"/>
        </w:rPr>
        <w:t>y</w:t>
      </w:r>
      <w:r>
        <w:rPr>
          <w:rFonts w:asciiTheme="minorHAnsi" w:hAnsiTheme="minorHAnsi"/>
          <w:sz w:val="22"/>
          <w:szCs w:val="22"/>
        </w:rPr>
        <w:t xml:space="preserve"> oz</w:t>
      </w:r>
      <w:r w:rsidR="00A75C05">
        <w:rPr>
          <w:rFonts w:asciiTheme="minorHAnsi" w:hAnsiTheme="minorHAnsi"/>
          <w:sz w:val="22"/>
          <w:szCs w:val="22"/>
        </w:rPr>
        <w:t>načené</w:t>
      </w:r>
      <w:r>
        <w:rPr>
          <w:rFonts w:asciiTheme="minorHAnsi" w:hAnsiTheme="minorHAnsi"/>
          <w:sz w:val="22"/>
          <w:szCs w:val="22"/>
        </w:rPr>
        <w:t xml:space="preserve"> číselným</w:t>
      </w:r>
      <w:r w:rsidR="00A75C05">
        <w:rPr>
          <w:rFonts w:asciiTheme="minorHAnsi" w:hAnsiTheme="minorHAnsi"/>
          <w:sz w:val="22"/>
          <w:szCs w:val="22"/>
        </w:rPr>
        <w:t>i</w:t>
      </w:r>
      <w:r>
        <w:rPr>
          <w:rFonts w:asciiTheme="minorHAnsi" w:hAnsiTheme="minorHAnsi"/>
          <w:sz w:val="22"/>
          <w:szCs w:val="22"/>
        </w:rPr>
        <w:t xml:space="preserve"> kód</w:t>
      </w:r>
      <w:r w:rsidR="00A75C05">
        <w:rPr>
          <w:rFonts w:asciiTheme="minorHAnsi" w:hAnsiTheme="minorHAnsi"/>
          <w:sz w:val="22"/>
          <w:szCs w:val="22"/>
        </w:rPr>
        <w:t>y</w:t>
      </w:r>
      <w:r w:rsidRPr="00115E7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05.03.05.08</w:t>
      </w:r>
      <w:r w:rsidR="00A75C05">
        <w:rPr>
          <w:rFonts w:asciiTheme="minorHAnsi" w:hAnsiTheme="minorHAnsi"/>
          <w:sz w:val="22"/>
          <w:szCs w:val="22"/>
        </w:rPr>
        <w:t xml:space="preserve"> a 05.03.05.09, které znějí</w:t>
      </w:r>
      <w:r>
        <w:rPr>
          <w:rFonts w:asciiTheme="minorHAnsi" w:hAnsiTheme="minorHAnsi"/>
          <w:sz w:val="22"/>
          <w:szCs w:val="22"/>
        </w:rPr>
        <w:t>:</w:t>
      </w:r>
    </w:p>
    <w:tbl>
      <w:tblPr>
        <w:tblW w:w="14885" w:type="dxa"/>
        <w:tblInd w:w="-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2835"/>
        <w:gridCol w:w="1985"/>
        <w:gridCol w:w="1984"/>
        <w:gridCol w:w="2410"/>
        <w:gridCol w:w="1701"/>
        <w:gridCol w:w="1701"/>
        <w:gridCol w:w="1134"/>
      </w:tblGrid>
      <w:tr w:rsidR="00545299" w:rsidRPr="00C14361" w14:paraId="4C390525" w14:textId="77777777" w:rsidTr="00EF0F7E">
        <w:trPr>
          <w:trHeight w:val="520"/>
        </w:trPr>
        <w:tc>
          <w:tcPr>
            <w:tcW w:w="1135" w:type="dxa"/>
            <w:shd w:val="clear" w:color="000000" w:fill="FFFFFF"/>
            <w:hideMark/>
          </w:tcPr>
          <w:p w14:paraId="7C44CAA2" w14:textId="6B0B94EA" w:rsidR="00545299" w:rsidRPr="00C14361" w:rsidRDefault="00545299" w:rsidP="00545299">
            <w:pPr>
              <w:rPr>
                <w:sz w:val="18"/>
                <w:szCs w:val="18"/>
              </w:rPr>
            </w:pPr>
            <w:r w:rsidRPr="00C14361">
              <w:rPr>
                <w:sz w:val="18"/>
                <w:szCs w:val="18"/>
              </w:rPr>
              <w:t>05.03.0</w:t>
            </w:r>
            <w:r>
              <w:rPr>
                <w:sz w:val="18"/>
                <w:szCs w:val="18"/>
              </w:rPr>
              <w:t>5</w:t>
            </w:r>
            <w:r w:rsidRPr="00C14361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2835" w:type="dxa"/>
            <w:shd w:val="clear" w:color="000000" w:fill="FFFFFF"/>
            <w:hideMark/>
          </w:tcPr>
          <w:p w14:paraId="761E944C" w14:textId="01CB3452" w:rsidR="00545299" w:rsidRPr="00C14361" w:rsidRDefault="00A75C05" w:rsidP="00EF0F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zásobníky k </w:t>
            </w:r>
            <w:r w:rsidR="002A55A2">
              <w:rPr>
                <w:sz w:val="18"/>
                <w:szCs w:val="18"/>
              </w:rPr>
              <w:t>infu</w:t>
            </w:r>
            <w:r w:rsidR="00545299">
              <w:rPr>
                <w:sz w:val="18"/>
                <w:szCs w:val="18"/>
              </w:rPr>
              <w:t>zní</w:t>
            </w:r>
            <w:r>
              <w:rPr>
                <w:sz w:val="18"/>
                <w:szCs w:val="18"/>
              </w:rPr>
              <w:t>m</w:t>
            </w:r>
            <w:r w:rsidR="0054529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pumpám</w:t>
            </w:r>
            <w:r w:rsidR="00545299">
              <w:rPr>
                <w:sz w:val="18"/>
                <w:szCs w:val="18"/>
              </w:rPr>
              <w:t xml:space="preserve"> pro kontinuální intravenózní podávání léčiva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0E2C13BC" w14:textId="0B19628F" w:rsidR="00545299" w:rsidRPr="00C14361" w:rsidRDefault="00A75C05" w:rsidP="00EF0F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objem 50 nebo 100 ml</w:t>
            </w:r>
            <w:r w:rsidR="0054529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4BFDCAF8" w14:textId="77777777" w:rsidR="00545299" w:rsidRPr="00C14361" w:rsidRDefault="00545299" w:rsidP="00EF0F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KAR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14:paraId="6260645C" w14:textId="77777777" w:rsidR="00545299" w:rsidRPr="00C14361" w:rsidRDefault="00545299" w:rsidP="00EF0F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plicní arteriální hypertenze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6F6F637" w14:textId="18172A88" w:rsidR="00545299" w:rsidRPr="00C14361" w:rsidRDefault="00A75C05" w:rsidP="00A75C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 w:rsidR="00545299" w:rsidRPr="00C14361">
              <w:rPr>
                <w:sz w:val="18"/>
                <w:szCs w:val="18"/>
              </w:rPr>
              <w:t xml:space="preserve"> ks / </w:t>
            </w:r>
            <w:r w:rsidR="00545299">
              <w:rPr>
                <w:sz w:val="18"/>
                <w:szCs w:val="18"/>
              </w:rPr>
              <w:t xml:space="preserve">1 </w:t>
            </w:r>
            <w:r>
              <w:rPr>
                <w:sz w:val="18"/>
                <w:szCs w:val="18"/>
              </w:rPr>
              <w:t>měsíc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B5058D2" w14:textId="77777777" w:rsidR="00545299" w:rsidRPr="00C14361" w:rsidRDefault="00545299" w:rsidP="00EF0F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100 %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46C5D04" w14:textId="38611203" w:rsidR="00545299" w:rsidRPr="00C14361" w:rsidRDefault="00A75C05" w:rsidP="00EF0F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</w:tr>
      <w:tr w:rsidR="00A75C05" w:rsidRPr="00C14361" w14:paraId="4C385296" w14:textId="77777777" w:rsidTr="00EF0F7E">
        <w:trPr>
          <w:trHeight w:val="520"/>
        </w:trPr>
        <w:tc>
          <w:tcPr>
            <w:tcW w:w="1135" w:type="dxa"/>
            <w:shd w:val="clear" w:color="000000" w:fill="FFFFFF"/>
          </w:tcPr>
          <w:p w14:paraId="3222D4AE" w14:textId="79B8964B" w:rsidR="00A75C05" w:rsidRPr="00C14361" w:rsidRDefault="00A75C05" w:rsidP="00545299">
            <w:pPr>
              <w:rPr>
                <w:sz w:val="18"/>
                <w:szCs w:val="18"/>
              </w:rPr>
            </w:pPr>
            <w:r w:rsidRPr="00C14361">
              <w:rPr>
                <w:sz w:val="18"/>
                <w:szCs w:val="18"/>
              </w:rPr>
              <w:t>05.03.0</w:t>
            </w:r>
            <w:r>
              <w:rPr>
                <w:sz w:val="18"/>
                <w:szCs w:val="18"/>
              </w:rPr>
              <w:t>5</w:t>
            </w:r>
            <w:r w:rsidRPr="00C14361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2835" w:type="dxa"/>
            <w:shd w:val="clear" w:color="000000" w:fill="FFFFFF"/>
          </w:tcPr>
          <w:p w14:paraId="7D45D6E6" w14:textId="7F27F9A6" w:rsidR="00A75C05" w:rsidRDefault="002A55A2" w:rsidP="00EF0F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infuzní linky k infu</w:t>
            </w:r>
            <w:r w:rsidR="00A75C05">
              <w:rPr>
                <w:sz w:val="18"/>
                <w:szCs w:val="18"/>
              </w:rPr>
              <w:t>zním pumpám pro kontinuální intravenózní podávání léčiva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14:paraId="7B521E87" w14:textId="57B2722D" w:rsidR="00A75C05" w:rsidRDefault="002A55A2" w:rsidP="00EF0F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infu</w:t>
            </w:r>
            <w:r w:rsidR="00A75C05">
              <w:rPr>
                <w:sz w:val="18"/>
                <w:szCs w:val="18"/>
              </w:rPr>
              <w:t xml:space="preserve">zní linky s nesavou chlopní 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186A0D51" w14:textId="03A13608" w:rsidR="00A75C05" w:rsidRDefault="00A75C05" w:rsidP="00EF0F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KAR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378DA209" w14:textId="5AA27984" w:rsidR="00A75C05" w:rsidRDefault="00A75C05" w:rsidP="00EF0F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plicní arteriální hypertenze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4F8E034B" w14:textId="3B9002C7" w:rsidR="00A75C05" w:rsidRDefault="00A75C05" w:rsidP="00A75C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C14361">
              <w:rPr>
                <w:sz w:val="18"/>
                <w:szCs w:val="18"/>
              </w:rPr>
              <w:t xml:space="preserve"> ks / </w:t>
            </w:r>
            <w:r>
              <w:rPr>
                <w:sz w:val="18"/>
                <w:szCs w:val="18"/>
              </w:rPr>
              <w:t>1 měsíc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16212DCA" w14:textId="3466DDAD" w:rsidR="00A75C05" w:rsidRDefault="00A75C05" w:rsidP="00EF0F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100 %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1E6542F" w14:textId="65C4D3FA" w:rsidR="00A75C05" w:rsidRDefault="00625347" w:rsidP="00EF0F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="00A75C05">
              <w:rPr>
                <w:sz w:val="18"/>
                <w:szCs w:val="18"/>
              </w:rPr>
              <w:t>e</w:t>
            </w:r>
          </w:p>
        </w:tc>
      </w:tr>
      <w:tr w:rsidR="006D2D1D" w:rsidRPr="00C14361" w14:paraId="039C8D6E" w14:textId="77777777" w:rsidTr="00EF0F7E">
        <w:trPr>
          <w:trHeight w:val="520"/>
        </w:trPr>
        <w:tc>
          <w:tcPr>
            <w:tcW w:w="1135" w:type="dxa"/>
            <w:shd w:val="clear" w:color="000000" w:fill="FFFFFF"/>
          </w:tcPr>
          <w:p w14:paraId="2D8EAC07" w14:textId="27EA601F" w:rsidR="006D2D1D" w:rsidRPr="00C14361" w:rsidRDefault="006D2D1D" w:rsidP="005452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05.03.05.10</w:t>
            </w:r>
          </w:p>
        </w:tc>
        <w:tc>
          <w:tcPr>
            <w:tcW w:w="2835" w:type="dxa"/>
            <w:shd w:val="clear" w:color="000000" w:fill="FFFFFF"/>
          </w:tcPr>
          <w:p w14:paraId="556A5618" w14:textId="1FADCB4B" w:rsidR="006D2D1D" w:rsidRDefault="006D2D1D" w:rsidP="00EF0F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jehla injekční pro přípravu infuzního roztoku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14:paraId="6B75B07B" w14:textId="14A41619" w:rsidR="006D2D1D" w:rsidRDefault="006B40D0" w:rsidP="00C91459">
            <w:pPr>
              <w:jc w:val="center"/>
              <w:rPr>
                <w:sz w:val="18"/>
                <w:szCs w:val="18"/>
              </w:rPr>
            </w:pPr>
            <w:r w:rsidRPr="00625347">
              <w:rPr>
                <w:sz w:val="18"/>
                <w:szCs w:val="18"/>
              </w:rPr>
              <w:t>1,2 x 40 mm nebo 0,9 x  40 mm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1D004FC1" w14:textId="2615E641" w:rsidR="006D2D1D" w:rsidRDefault="006D2D1D" w:rsidP="00EF0F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KAR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30005656" w14:textId="4DEFBFD9" w:rsidR="006D2D1D" w:rsidRDefault="006D2D1D" w:rsidP="00EF0F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plicní arteriální hypertenze 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17FCF610" w14:textId="019FD5C2" w:rsidR="006D2D1D" w:rsidRDefault="006D2D1D" w:rsidP="00A75C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 ks / 1 měsíc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5E788EF7" w14:textId="225A2150" w:rsidR="006D2D1D" w:rsidRDefault="006D2D1D" w:rsidP="00EF0F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100 %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2117AB0" w14:textId="0FDDBDB7" w:rsidR="006D2D1D" w:rsidRDefault="006D2D1D" w:rsidP="00EF0F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</w:tr>
      <w:tr w:rsidR="006D2D1D" w:rsidRPr="00C14361" w14:paraId="6BA44B27" w14:textId="77777777" w:rsidTr="00EF0F7E">
        <w:trPr>
          <w:trHeight w:val="520"/>
        </w:trPr>
        <w:tc>
          <w:tcPr>
            <w:tcW w:w="1135" w:type="dxa"/>
            <w:shd w:val="clear" w:color="000000" w:fill="FFFFFF"/>
          </w:tcPr>
          <w:p w14:paraId="7CB326CB" w14:textId="29AEF9BE" w:rsidR="006D2D1D" w:rsidRDefault="006D2D1D" w:rsidP="005452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05.03.05.11</w:t>
            </w:r>
          </w:p>
        </w:tc>
        <w:tc>
          <w:tcPr>
            <w:tcW w:w="2835" w:type="dxa"/>
            <w:shd w:val="clear" w:color="000000" w:fill="FFFFFF"/>
          </w:tcPr>
          <w:p w14:paraId="7FE4396C" w14:textId="7FE9A3EC" w:rsidR="006D2D1D" w:rsidRDefault="006D2D1D" w:rsidP="00EF0F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stříkačka injekční dvoudílná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14:paraId="717BD1DA" w14:textId="695CB677" w:rsidR="006D2D1D" w:rsidRPr="006D2D1D" w:rsidRDefault="006D2D1D" w:rsidP="00EF0F7E">
            <w:pPr>
              <w:jc w:val="center"/>
              <w:rPr>
                <w:sz w:val="18"/>
                <w:szCs w:val="18"/>
              </w:rPr>
            </w:pPr>
            <w:r w:rsidRPr="006D2D1D">
              <w:rPr>
                <w:sz w:val="18"/>
                <w:szCs w:val="18"/>
              </w:rPr>
              <w:t>5 ml nebo 10 ml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362E8E82" w14:textId="24D0D23E" w:rsidR="006D2D1D" w:rsidRDefault="006D2D1D" w:rsidP="00EF0F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KAR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331DE3E0" w14:textId="6FDEEB17" w:rsidR="006D2D1D" w:rsidRDefault="006D2D1D" w:rsidP="00EF0F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plicní arteriální hypertenze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1CBBC944" w14:textId="67688A41" w:rsidR="006D2D1D" w:rsidRDefault="006D2D1D" w:rsidP="00A75C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ks / 1 měsíc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6B24F4B7" w14:textId="76BCCA9B" w:rsidR="006D2D1D" w:rsidRDefault="006D2D1D" w:rsidP="00EF0F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100 %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3CD0778" w14:textId="296ABF72" w:rsidR="006D2D1D" w:rsidRDefault="006D2D1D" w:rsidP="00EF0F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</w:tr>
      <w:tr w:rsidR="006D2D1D" w:rsidRPr="00C14361" w14:paraId="01D37A44" w14:textId="77777777" w:rsidTr="00EF0F7E">
        <w:trPr>
          <w:trHeight w:val="520"/>
        </w:trPr>
        <w:tc>
          <w:tcPr>
            <w:tcW w:w="1135" w:type="dxa"/>
            <w:shd w:val="clear" w:color="000000" w:fill="FFFFFF"/>
          </w:tcPr>
          <w:p w14:paraId="544689CA" w14:textId="29063355" w:rsidR="006D2D1D" w:rsidRDefault="006D2D1D" w:rsidP="005452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05.03.05.12</w:t>
            </w:r>
          </w:p>
        </w:tc>
        <w:tc>
          <w:tcPr>
            <w:tcW w:w="2835" w:type="dxa"/>
            <w:shd w:val="clear" w:color="000000" w:fill="FFFFFF"/>
          </w:tcPr>
          <w:p w14:paraId="3120FEF9" w14:textId="53A8CB3D" w:rsidR="006D2D1D" w:rsidRDefault="006D2D1D" w:rsidP="00EF0F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stříkačka injekční dvoudílná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14:paraId="59E26DAC" w14:textId="0D89D069" w:rsidR="006D2D1D" w:rsidRPr="006D2D1D" w:rsidRDefault="006D2D1D" w:rsidP="00EF0F7E">
            <w:pPr>
              <w:jc w:val="center"/>
              <w:rPr>
                <w:sz w:val="18"/>
                <w:szCs w:val="18"/>
              </w:rPr>
            </w:pPr>
            <w:r w:rsidRPr="006D2D1D">
              <w:rPr>
                <w:sz w:val="18"/>
                <w:szCs w:val="18"/>
              </w:rPr>
              <w:t>50 ml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5E9649CE" w14:textId="7B0CF92C" w:rsidR="006D2D1D" w:rsidRDefault="006D2D1D" w:rsidP="00EF0F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KAR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469A5A5F" w14:textId="6D8C8044" w:rsidR="006D2D1D" w:rsidRDefault="006D2D1D" w:rsidP="00EF0F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plicní arteriální hypertenze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A89D5FD" w14:textId="686E815C" w:rsidR="006D2D1D" w:rsidRDefault="006D2D1D" w:rsidP="00A75C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ks / 1 měsíc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04E31ED5" w14:textId="101CB3F3" w:rsidR="006D2D1D" w:rsidRDefault="006D2D1D" w:rsidP="00EF0F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100 %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82295A4" w14:textId="7F3F40CB" w:rsidR="006D2D1D" w:rsidRDefault="006D2D1D" w:rsidP="00EF0F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</w:tr>
    </w:tbl>
    <w:p w14:paraId="42873A1A" w14:textId="77777777" w:rsidR="00545299" w:rsidRPr="00172F6F" w:rsidRDefault="00545299" w:rsidP="00545299">
      <w:pPr>
        <w:jc w:val="both"/>
        <w:rPr>
          <w:rFonts w:asciiTheme="minorHAnsi" w:hAnsiTheme="minorHAnsi"/>
          <w:bCs/>
          <w:sz w:val="22"/>
          <w:szCs w:val="22"/>
        </w:rPr>
      </w:pPr>
    </w:p>
    <w:p w14:paraId="05800A56" w14:textId="65C95F02" w:rsidR="00D55049" w:rsidRPr="00952E71" w:rsidRDefault="00927D0D" w:rsidP="00952E71">
      <w:pPr>
        <w:jc w:val="center"/>
        <w:rPr>
          <w:rFonts w:asciiTheme="minorHAnsi" w:hAnsiTheme="minorHAnsi"/>
          <w:sz w:val="21"/>
        </w:rPr>
      </w:pPr>
      <w:r w:rsidRPr="00172F6F">
        <w:rPr>
          <w:rFonts w:asciiTheme="minorHAnsi" w:hAnsiTheme="minorHAnsi"/>
          <w:b/>
          <w:bCs/>
          <w:sz w:val="24"/>
          <w:szCs w:val="23"/>
        </w:rPr>
        <w:t>Odůvodnění:</w:t>
      </w:r>
    </w:p>
    <w:p w14:paraId="1C23EA33" w14:textId="10A414DA" w:rsidR="00AD3DFF" w:rsidRPr="00EF186A" w:rsidRDefault="00D55049" w:rsidP="002A55A2">
      <w:pPr>
        <w:jc w:val="both"/>
        <w:rPr>
          <w:rFonts w:asciiTheme="minorHAnsi" w:hAnsiTheme="minorHAnsi"/>
          <w:sz w:val="22"/>
        </w:rPr>
      </w:pPr>
      <w:r w:rsidRPr="00EF186A">
        <w:rPr>
          <w:rFonts w:asciiTheme="minorHAnsi" w:hAnsiTheme="minorHAnsi"/>
          <w:sz w:val="22"/>
        </w:rPr>
        <w:t>Plicní arteriální hypertenze je závažným nevyléčitelným onemocněním. Možnosti její léčby jsou omezené na zásah do dosud známých patofyziologických mechanismů a na léčbu symptomatickou. Kvalita života pacientů s plicní arteriální hypertenzí je velice nízká a v nejvyš</w:t>
      </w:r>
      <w:r w:rsidR="00BF157D">
        <w:rPr>
          <w:rFonts w:asciiTheme="minorHAnsi" w:hAnsiTheme="minorHAnsi"/>
          <w:sz w:val="22"/>
        </w:rPr>
        <w:t>ším stádiu tohoto onemocnění (o jeho </w:t>
      </w:r>
      <w:r w:rsidRPr="00EF186A">
        <w:rPr>
          <w:rFonts w:asciiTheme="minorHAnsi" w:hAnsiTheme="minorHAnsi"/>
          <w:sz w:val="22"/>
        </w:rPr>
        <w:t>klasifikaci níže v tomto odůvodnění) jsou prakticky odkázáni na pobyt na lůžku.</w:t>
      </w:r>
      <w:r w:rsidR="001C54ED" w:rsidRPr="00EF186A">
        <w:rPr>
          <w:rFonts w:asciiTheme="minorHAnsi" w:hAnsiTheme="minorHAnsi"/>
          <w:sz w:val="22"/>
        </w:rPr>
        <w:t xml:space="preserve"> </w:t>
      </w:r>
      <w:r w:rsidR="00AD3DFF" w:rsidRPr="00EF186A">
        <w:rPr>
          <w:rFonts w:asciiTheme="minorHAnsi" w:hAnsiTheme="minorHAnsi"/>
          <w:sz w:val="22"/>
        </w:rPr>
        <w:t xml:space="preserve">Plicní arteriální hypertenze se v ČR týká celkem (prevalence) 350 případů, přičemž průměrná roční mortalita činí 15 %. Roční incidence, tedy nové případy, činí cca 50 pacientů. Počet pacientů s onemocněním plicní arteriální hypertenze je tedy stálý a nemění se. </w:t>
      </w:r>
      <w:r w:rsidR="00FD34C2" w:rsidRPr="00EF186A">
        <w:rPr>
          <w:rFonts w:asciiTheme="minorHAnsi" w:hAnsiTheme="minorHAnsi"/>
          <w:sz w:val="22"/>
        </w:rPr>
        <w:t>Je třeba zmínit, že se jedná o </w:t>
      </w:r>
      <w:r w:rsidR="00AD3DFF" w:rsidRPr="00EF186A">
        <w:rPr>
          <w:rFonts w:asciiTheme="minorHAnsi" w:hAnsiTheme="minorHAnsi"/>
          <w:sz w:val="22"/>
        </w:rPr>
        <w:t>nevyléčitelné onemocnění. Cílem léčby je zasáhnout do tří známých patofyziologických mechanismů uplatňujících se při vzniku a rozvoji plicní arteriální hypertenze</w:t>
      </w:r>
      <w:r w:rsidR="002A55A2" w:rsidRPr="00EF186A">
        <w:rPr>
          <w:rFonts w:asciiTheme="minorHAnsi" w:hAnsiTheme="minorHAnsi"/>
          <w:sz w:val="22"/>
        </w:rPr>
        <w:t xml:space="preserve"> a ovlivnit symptomy a </w:t>
      </w:r>
      <w:r w:rsidR="00AD3DFF" w:rsidRPr="00EF186A">
        <w:rPr>
          <w:rFonts w:asciiTheme="minorHAnsi" w:hAnsiTheme="minorHAnsi"/>
          <w:sz w:val="22"/>
        </w:rPr>
        <w:t>prognózu nemocných.</w:t>
      </w:r>
    </w:p>
    <w:p w14:paraId="4507B77C" w14:textId="23C6D4FF" w:rsidR="00EF186A" w:rsidRPr="00BF157D" w:rsidRDefault="00FD34C2" w:rsidP="001C54ED">
      <w:pPr>
        <w:jc w:val="both"/>
        <w:rPr>
          <w:rFonts w:asciiTheme="minorHAnsi" w:hAnsiTheme="minorHAnsi"/>
          <w:b/>
          <w:sz w:val="22"/>
          <w:u w:val="single"/>
        </w:rPr>
      </w:pPr>
      <w:r w:rsidRPr="00BF157D">
        <w:rPr>
          <w:rFonts w:asciiTheme="minorHAnsi" w:hAnsiTheme="minorHAnsi"/>
          <w:b/>
          <w:sz w:val="22"/>
        </w:rPr>
        <w:t>Na tomto</w:t>
      </w:r>
      <w:r w:rsidR="00EF0F7E" w:rsidRPr="00BF157D">
        <w:rPr>
          <w:rFonts w:asciiTheme="minorHAnsi" w:hAnsiTheme="minorHAnsi"/>
          <w:b/>
          <w:sz w:val="22"/>
        </w:rPr>
        <w:t xml:space="preserve"> úvodním</w:t>
      </w:r>
      <w:r w:rsidRPr="00BF157D">
        <w:rPr>
          <w:rFonts w:asciiTheme="minorHAnsi" w:hAnsiTheme="minorHAnsi"/>
          <w:b/>
          <w:sz w:val="22"/>
        </w:rPr>
        <w:t xml:space="preserve"> místě</w:t>
      </w:r>
      <w:r w:rsidR="00EF0F7E" w:rsidRPr="00BF157D">
        <w:rPr>
          <w:rFonts w:asciiTheme="minorHAnsi" w:hAnsiTheme="minorHAnsi"/>
          <w:b/>
          <w:sz w:val="22"/>
        </w:rPr>
        <w:t xml:space="preserve"> odůvodnění je třeba zmínit, že pacientům v ČR je bezplatně dostupná </w:t>
      </w:r>
      <w:r w:rsidR="001C54ED" w:rsidRPr="00BF157D">
        <w:rPr>
          <w:rFonts w:asciiTheme="minorHAnsi" w:hAnsiTheme="minorHAnsi"/>
          <w:b/>
          <w:sz w:val="22"/>
        </w:rPr>
        <w:t xml:space="preserve">terapie pouze teoreticky, přesně řečeno pouze jedna její část. Léčba spočívá </w:t>
      </w:r>
      <w:r w:rsidR="00EF186A" w:rsidRPr="00BF157D">
        <w:rPr>
          <w:rFonts w:asciiTheme="minorHAnsi" w:hAnsiTheme="minorHAnsi"/>
          <w:b/>
          <w:sz w:val="22"/>
        </w:rPr>
        <w:t xml:space="preserve">v </w:t>
      </w:r>
      <w:r w:rsidR="001C54ED" w:rsidRPr="00BF157D">
        <w:rPr>
          <w:rFonts w:asciiTheme="minorHAnsi" w:hAnsiTheme="minorHAnsi"/>
          <w:b/>
          <w:sz w:val="22"/>
        </w:rPr>
        <w:t xml:space="preserve">intravenózním podávání </w:t>
      </w:r>
      <w:proofErr w:type="spellStart"/>
      <w:r w:rsidR="001C54ED" w:rsidRPr="00BF157D">
        <w:rPr>
          <w:rFonts w:asciiTheme="minorHAnsi" w:hAnsiTheme="minorHAnsi"/>
          <w:b/>
          <w:sz w:val="22"/>
        </w:rPr>
        <w:t>epoprostenolu</w:t>
      </w:r>
      <w:proofErr w:type="spellEnd"/>
      <w:r w:rsidR="001C54ED" w:rsidRPr="00BF157D">
        <w:rPr>
          <w:rFonts w:asciiTheme="minorHAnsi" w:hAnsiTheme="minorHAnsi"/>
          <w:b/>
          <w:sz w:val="22"/>
        </w:rPr>
        <w:t xml:space="preserve"> (</w:t>
      </w:r>
      <w:r w:rsidR="00BF157D" w:rsidRPr="00BF157D">
        <w:rPr>
          <w:rFonts w:asciiTheme="minorHAnsi" w:hAnsiTheme="minorHAnsi"/>
          <w:b/>
          <w:sz w:val="22"/>
        </w:rPr>
        <w:t xml:space="preserve">léčivé přípravky </w:t>
      </w:r>
      <w:proofErr w:type="spellStart"/>
      <w:r w:rsidR="001C54ED" w:rsidRPr="00BF157D">
        <w:rPr>
          <w:rFonts w:asciiTheme="minorHAnsi" w:hAnsiTheme="minorHAnsi"/>
          <w:b/>
          <w:sz w:val="22"/>
        </w:rPr>
        <w:t>Flolan</w:t>
      </w:r>
      <w:proofErr w:type="spellEnd"/>
      <w:r w:rsidR="001C54ED" w:rsidRPr="00BF157D">
        <w:rPr>
          <w:rFonts w:asciiTheme="minorHAnsi" w:hAnsiTheme="minorHAnsi"/>
          <w:b/>
          <w:sz w:val="22"/>
        </w:rPr>
        <w:t xml:space="preserve">, </w:t>
      </w:r>
      <w:proofErr w:type="spellStart"/>
      <w:r w:rsidR="001C54ED" w:rsidRPr="00BF157D">
        <w:rPr>
          <w:rFonts w:asciiTheme="minorHAnsi" w:hAnsiTheme="minorHAnsi"/>
          <w:b/>
          <w:sz w:val="22"/>
        </w:rPr>
        <w:t>Veletri</w:t>
      </w:r>
      <w:proofErr w:type="spellEnd"/>
      <w:r w:rsidR="001C54ED" w:rsidRPr="00BF157D">
        <w:rPr>
          <w:rFonts w:asciiTheme="minorHAnsi" w:hAnsiTheme="minorHAnsi"/>
          <w:b/>
          <w:sz w:val="22"/>
        </w:rPr>
        <w:t xml:space="preserve">). </w:t>
      </w:r>
      <w:proofErr w:type="spellStart"/>
      <w:r w:rsidR="001C54ED" w:rsidRPr="00BF157D">
        <w:rPr>
          <w:rFonts w:asciiTheme="minorHAnsi" w:hAnsiTheme="minorHAnsi"/>
          <w:b/>
          <w:sz w:val="22"/>
        </w:rPr>
        <w:t>Epoprostenol</w:t>
      </w:r>
      <w:proofErr w:type="spellEnd"/>
      <w:r w:rsidR="001C54ED" w:rsidRPr="00BF157D">
        <w:rPr>
          <w:rFonts w:asciiTheme="minorHAnsi" w:hAnsiTheme="minorHAnsi"/>
          <w:b/>
          <w:sz w:val="22"/>
        </w:rPr>
        <w:t xml:space="preserve"> vede ke zlepšení symptomů, zátěžové kapacity a </w:t>
      </w:r>
      <w:r w:rsidR="00BF157D" w:rsidRPr="00BF157D">
        <w:rPr>
          <w:rFonts w:asciiTheme="minorHAnsi" w:hAnsiTheme="minorHAnsi"/>
          <w:b/>
          <w:sz w:val="22"/>
        </w:rPr>
        <w:t>ostatních</w:t>
      </w:r>
      <w:r w:rsidR="001C54ED" w:rsidRPr="00BF157D">
        <w:rPr>
          <w:rFonts w:asciiTheme="minorHAnsi" w:hAnsiTheme="minorHAnsi"/>
          <w:b/>
          <w:sz w:val="22"/>
        </w:rPr>
        <w:t xml:space="preserve"> parametrů a </w:t>
      </w:r>
      <w:r w:rsidR="001C54ED" w:rsidRPr="00BF157D">
        <w:rPr>
          <w:rFonts w:asciiTheme="minorHAnsi" w:hAnsiTheme="minorHAnsi"/>
          <w:b/>
          <w:sz w:val="22"/>
          <w:u w:val="single"/>
        </w:rPr>
        <w:t xml:space="preserve">představuje jedinou léčbu, která prokázala snížení úmrtnosti u idiopatické plicní arteriální hypertenze. </w:t>
      </w:r>
      <w:r w:rsidR="001C54ED" w:rsidRPr="00BF157D">
        <w:rPr>
          <w:rFonts w:asciiTheme="minorHAnsi" w:hAnsiTheme="minorHAnsi"/>
          <w:b/>
          <w:sz w:val="22"/>
        </w:rPr>
        <w:t>Uvedené léčivé přípravky jsou plně hrazené z prostředků veřejného zdravotního pojištění.</w:t>
      </w:r>
      <w:r w:rsidR="001C54ED" w:rsidRPr="004D7EB4">
        <w:rPr>
          <w:rFonts w:asciiTheme="minorHAnsi" w:hAnsiTheme="minorHAnsi"/>
          <w:b/>
          <w:sz w:val="22"/>
        </w:rPr>
        <w:t xml:space="preserve"> </w:t>
      </w:r>
      <w:r w:rsidR="00BF157D" w:rsidRPr="00BF157D">
        <w:rPr>
          <w:rFonts w:asciiTheme="minorHAnsi" w:hAnsiTheme="minorHAnsi"/>
          <w:b/>
          <w:sz w:val="22"/>
          <w:u w:val="single"/>
        </w:rPr>
        <w:t>Ambulantní d</w:t>
      </w:r>
      <w:r w:rsidR="001C54ED" w:rsidRPr="00BF157D">
        <w:rPr>
          <w:rFonts w:asciiTheme="minorHAnsi" w:hAnsiTheme="minorHAnsi"/>
          <w:b/>
          <w:sz w:val="22"/>
          <w:u w:val="single"/>
        </w:rPr>
        <w:t>ávkovací zařízení</w:t>
      </w:r>
      <w:r w:rsidR="00BF157D" w:rsidRPr="00BF157D">
        <w:rPr>
          <w:rFonts w:asciiTheme="minorHAnsi" w:hAnsiTheme="minorHAnsi"/>
          <w:b/>
          <w:sz w:val="22"/>
          <w:u w:val="single"/>
        </w:rPr>
        <w:t xml:space="preserve">, </w:t>
      </w:r>
      <w:r w:rsidR="00263264">
        <w:rPr>
          <w:rFonts w:asciiTheme="minorHAnsi" w:hAnsiTheme="minorHAnsi"/>
          <w:b/>
          <w:sz w:val="22"/>
          <w:u w:val="single"/>
        </w:rPr>
        <w:t>tedy infu</w:t>
      </w:r>
      <w:r w:rsidR="001C54ED" w:rsidRPr="00BF157D">
        <w:rPr>
          <w:rFonts w:asciiTheme="minorHAnsi" w:hAnsiTheme="minorHAnsi"/>
          <w:b/>
          <w:sz w:val="22"/>
          <w:u w:val="single"/>
        </w:rPr>
        <w:t>zní pumpa s intravenózním katétrem</w:t>
      </w:r>
      <w:r w:rsidR="00BF157D" w:rsidRPr="00BF157D">
        <w:rPr>
          <w:rFonts w:asciiTheme="minorHAnsi" w:hAnsiTheme="minorHAnsi"/>
          <w:b/>
          <w:sz w:val="22"/>
          <w:u w:val="single"/>
        </w:rPr>
        <w:t>, která je pro jejich aplikaci nutná,</w:t>
      </w:r>
      <w:r w:rsidR="004D7EB4">
        <w:rPr>
          <w:rFonts w:asciiTheme="minorHAnsi" w:hAnsiTheme="minorHAnsi"/>
          <w:b/>
          <w:sz w:val="22"/>
          <w:u w:val="single"/>
        </w:rPr>
        <w:t xml:space="preserve"> a dále stříkačky a jehly k přípravě infuze léčivého přípravku</w:t>
      </w:r>
      <w:r w:rsidR="00BF157D" w:rsidRPr="00BF157D">
        <w:rPr>
          <w:rFonts w:asciiTheme="minorHAnsi" w:hAnsiTheme="minorHAnsi"/>
          <w:b/>
          <w:sz w:val="22"/>
          <w:u w:val="single"/>
        </w:rPr>
        <w:t xml:space="preserve"> </w:t>
      </w:r>
      <w:r w:rsidR="001C54ED" w:rsidRPr="00BF157D">
        <w:rPr>
          <w:rFonts w:asciiTheme="minorHAnsi" w:hAnsiTheme="minorHAnsi"/>
          <w:b/>
          <w:sz w:val="22"/>
          <w:u w:val="single"/>
        </w:rPr>
        <w:t>však hrazené ne</w:t>
      </w:r>
      <w:r w:rsidR="004D7EB4">
        <w:rPr>
          <w:rFonts w:asciiTheme="minorHAnsi" w:hAnsiTheme="minorHAnsi"/>
          <w:b/>
          <w:sz w:val="22"/>
          <w:u w:val="single"/>
        </w:rPr>
        <w:t>jso</w:t>
      </w:r>
      <w:bookmarkStart w:id="0" w:name="_GoBack"/>
      <w:bookmarkEnd w:id="0"/>
      <w:r w:rsidR="004D7EB4">
        <w:rPr>
          <w:rFonts w:asciiTheme="minorHAnsi" w:hAnsiTheme="minorHAnsi"/>
          <w:b/>
          <w:sz w:val="22"/>
          <w:u w:val="single"/>
        </w:rPr>
        <w:t>u</w:t>
      </w:r>
      <w:r w:rsidR="001C54ED" w:rsidRPr="00BF157D">
        <w:rPr>
          <w:rFonts w:asciiTheme="minorHAnsi" w:hAnsiTheme="minorHAnsi"/>
          <w:b/>
          <w:sz w:val="22"/>
          <w:u w:val="single"/>
        </w:rPr>
        <w:t xml:space="preserve">. </w:t>
      </w:r>
    </w:p>
    <w:p w14:paraId="3AE2F360" w14:textId="0E9F1A3D" w:rsidR="001C54ED" w:rsidRPr="00BF157D" w:rsidRDefault="001C54ED" w:rsidP="002A55A2">
      <w:pPr>
        <w:jc w:val="both"/>
        <w:rPr>
          <w:rFonts w:asciiTheme="minorHAnsi" w:hAnsiTheme="minorHAnsi"/>
          <w:sz w:val="22"/>
        </w:rPr>
      </w:pPr>
      <w:r w:rsidRPr="00BF157D">
        <w:rPr>
          <w:rFonts w:asciiTheme="minorHAnsi" w:hAnsiTheme="minorHAnsi"/>
          <w:sz w:val="22"/>
        </w:rPr>
        <w:t>Od poskytovatelů zdravotních služeb se tak mlčky očekává, že při propuštění pacienta z hospitalizace jej vybaví lékovou pumpou s příslušenstvím pro následné ambulantní ošetřování</w:t>
      </w:r>
      <w:r w:rsidR="00BF157D">
        <w:rPr>
          <w:rFonts w:asciiTheme="minorHAnsi" w:hAnsiTheme="minorHAnsi"/>
          <w:sz w:val="22"/>
        </w:rPr>
        <w:t xml:space="preserve"> na vlastní náklady</w:t>
      </w:r>
      <w:r w:rsidRPr="00BF157D">
        <w:rPr>
          <w:rFonts w:asciiTheme="minorHAnsi" w:hAnsiTheme="minorHAnsi"/>
          <w:sz w:val="22"/>
        </w:rPr>
        <w:t xml:space="preserve">. </w:t>
      </w:r>
      <w:r w:rsidR="00EF186A" w:rsidRPr="00BF157D">
        <w:rPr>
          <w:rFonts w:asciiTheme="minorHAnsi" w:hAnsiTheme="minorHAnsi"/>
          <w:sz w:val="22"/>
        </w:rPr>
        <w:t xml:space="preserve">Tento stav má 2 negativní konsekvence. První je zcela zřejmá nesprávnost, kdy v administrativním soukolí řízení o úhradě léčivého přípravku byl pominut pacient a </w:t>
      </w:r>
      <w:r w:rsidR="00BF157D">
        <w:rPr>
          <w:rFonts w:asciiTheme="minorHAnsi" w:hAnsiTheme="minorHAnsi"/>
          <w:sz w:val="22"/>
        </w:rPr>
        <w:t xml:space="preserve">reálná </w:t>
      </w:r>
      <w:r w:rsidR="00EF186A" w:rsidRPr="00BF157D">
        <w:rPr>
          <w:rFonts w:asciiTheme="minorHAnsi" w:hAnsiTheme="minorHAnsi"/>
          <w:sz w:val="22"/>
        </w:rPr>
        <w:t xml:space="preserve">dostupnost </w:t>
      </w:r>
      <w:r w:rsidR="00BF157D">
        <w:rPr>
          <w:rFonts w:asciiTheme="minorHAnsi" w:hAnsiTheme="minorHAnsi"/>
          <w:sz w:val="22"/>
        </w:rPr>
        <w:t xml:space="preserve">jeho </w:t>
      </w:r>
      <w:r w:rsidR="00EF186A" w:rsidRPr="00BF157D">
        <w:rPr>
          <w:rFonts w:asciiTheme="minorHAnsi" w:hAnsiTheme="minorHAnsi"/>
          <w:sz w:val="22"/>
        </w:rPr>
        <w:t xml:space="preserve">léčby. Druhou konsekvencí je fakt, že současné nastavení úhrad </w:t>
      </w:r>
      <w:r w:rsidR="00263264">
        <w:rPr>
          <w:rFonts w:asciiTheme="minorHAnsi" w:hAnsiTheme="minorHAnsi"/>
          <w:sz w:val="22"/>
        </w:rPr>
        <w:t>potřebných infuz</w:t>
      </w:r>
      <w:r w:rsidR="00EF186A" w:rsidRPr="00BF157D">
        <w:rPr>
          <w:rFonts w:asciiTheme="minorHAnsi" w:hAnsiTheme="minorHAnsi"/>
          <w:sz w:val="22"/>
        </w:rPr>
        <w:t>ních pump vytváří pro poskytovatele negativní motivaci, která může vést k tomu, že někteří pacienti</w:t>
      </w:r>
      <w:r w:rsidR="00BF157D" w:rsidRPr="00BF157D">
        <w:rPr>
          <w:rFonts w:asciiTheme="minorHAnsi" w:hAnsiTheme="minorHAnsi"/>
          <w:sz w:val="22"/>
        </w:rPr>
        <w:t>, kteří by pro tuto léčbu mohli být indikováni tak</w:t>
      </w:r>
      <w:r w:rsidR="00EF186A" w:rsidRPr="00BF157D">
        <w:rPr>
          <w:rFonts w:asciiTheme="minorHAnsi" w:hAnsiTheme="minorHAnsi"/>
          <w:sz w:val="22"/>
        </w:rPr>
        <w:t xml:space="preserve"> tuto léčbu prostě nedostanou z ekonomických důvodů. </w:t>
      </w:r>
      <w:r w:rsidR="00BF157D" w:rsidRPr="00BF157D">
        <w:rPr>
          <w:rFonts w:asciiTheme="minorHAnsi" w:hAnsiTheme="minorHAnsi"/>
          <w:sz w:val="22"/>
        </w:rPr>
        <w:t>A přitom inf</w:t>
      </w:r>
      <w:r w:rsidR="007A38BE">
        <w:rPr>
          <w:rFonts w:asciiTheme="minorHAnsi" w:hAnsiTheme="minorHAnsi"/>
          <w:sz w:val="22"/>
        </w:rPr>
        <w:t>u</w:t>
      </w:r>
      <w:r w:rsidR="00BF157D" w:rsidRPr="00BF157D">
        <w:rPr>
          <w:rFonts w:asciiTheme="minorHAnsi" w:hAnsiTheme="minorHAnsi"/>
          <w:sz w:val="22"/>
        </w:rPr>
        <w:t>zní pumpy jsou typickým p</w:t>
      </w:r>
      <w:r w:rsidR="007A38BE">
        <w:rPr>
          <w:rFonts w:asciiTheme="minorHAnsi" w:hAnsiTheme="minorHAnsi"/>
          <w:sz w:val="22"/>
        </w:rPr>
        <w:t>říkladem</w:t>
      </w:r>
      <w:r w:rsidR="00BF157D" w:rsidRPr="00BF157D">
        <w:rPr>
          <w:rFonts w:asciiTheme="minorHAnsi" w:hAnsiTheme="minorHAnsi"/>
          <w:sz w:val="22"/>
        </w:rPr>
        <w:t xml:space="preserve"> </w:t>
      </w:r>
      <w:proofErr w:type="spellStart"/>
      <w:r w:rsidR="00BF157D" w:rsidRPr="00BF157D">
        <w:rPr>
          <w:rFonts w:asciiTheme="minorHAnsi" w:hAnsiTheme="minorHAnsi"/>
          <w:sz w:val="22"/>
        </w:rPr>
        <w:t>poukazového</w:t>
      </w:r>
      <w:proofErr w:type="spellEnd"/>
      <w:r w:rsidR="00BF157D" w:rsidRPr="00BF157D">
        <w:rPr>
          <w:rFonts w:asciiTheme="minorHAnsi" w:hAnsiTheme="minorHAnsi"/>
          <w:sz w:val="22"/>
        </w:rPr>
        <w:t xml:space="preserve"> zdravotnického prostředku, jejic</w:t>
      </w:r>
      <w:r w:rsidR="00BF157D">
        <w:rPr>
          <w:rFonts w:asciiTheme="minorHAnsi" w:hAnsiTheme="minorHAnsi"/>
          <w:sz w:val="22"/>
        </w:rPr>
        <w:t>hž</w:t>
      </w:r>
      <w:r w:rsidR="00BF157D" w:rsidRPr="00BF157D">
        <w:rPr>
          <w:rFonts w:asciiTheme="minorHAnsi" w:hAnsiTheme="minorHAnsi"/>
          <w:sz w:val="22"/>
        </w:rPr>
        <w:t xml:space="preserve"> úhrada je řešena tímto sněmovním tiskem.</w:t>
      </w:r>
    </w:p>
    <w:p w14:paraId="28DC68B1" w14:textId="10D0C33C" w:rsidR="00AD3DFF" w:rsidRPr="00BF157D" w:rsidRDefault="00BF157D" w:rsidP="007A38BE">
      <w:pPr>
        <w:keepNext/>
        <w:jc w:val="both"/>
        <w:rPr>
          <w:rFonts w:asciiTheme="minorHAnsi" w:hAnsiTheme="minorHAnsi"/>
          <w:b/>
          <w:i/>
          <w:sz w:val="22"/>
        </w:rPr>
      </w:pPr>
      <w:r w:rsidRPr="00BF157D">
        <w:rPr>
          <w:rFonts w:asciiTheme="minorHAnsi" w:hAnsiTheme="minorHAnsi"/>
          <w:b/>
          <w:i/>
          <w:sz w:val="22"/>
        </w:rPr>
        <w:lastRenderedPageBreak/>
        <w:t xml:space="preserve">Vysvětlím dále, jaká je prognóza </w:t>
      </w:r>
      <w:r w:rsidR="00AD3DFF" w:rsidRPr="00BF157D">
        <w:rPr>
          <w:rFonts w:asciiTheme="minorHAnsi" w:hAnsiTheme="minorHAnsi"/>
          <w:b/>
          <w:i/>
          <w:sz w:val="22"/>
        </w:rPr>
        <w:t>pacienta s tímto typem léčby</w:t>
      </w:r>
      <w:r w:rsidRPr="00BF157D">
        <w:rPr>
          <w:rFonts w:asciiTheme="minorHAnsi" w:hAnsiTheme="minorHAnsi"/>
          <w:b/>
          <w:i/>
          <w:sz w:val="22"/>
        </w:rPr>
        <w:t xml:space="preserve"> a další souvislosti:</w:t>
      </w:r>
    </w:p>
    <w:p w14:paraId="2AA910B0" w14:textId="77777777" w:rsidR="00AD3DFF" w:rsidRPr="00AD3DFF" w:rsidRDefault="00AD3DFF" w:rsidP="002A55A2">
      <w:pPr>
        <w:jc w:val="both"/>
        <w:rPr>
          <w:rFonts w:asciiTheme="minorHAnsi" w:hAnsiTheme="minorHAnsi"/>
          <w:sz w:val="22"/>
        </w:rPr>
      </w:pPr>
      <w:proofErr w:type="spellStart"/>
      <w:r w:rsidRPr="00AD3DFF">
        <w:rPr>
          <w:rFonts w:asciiTheme="minorHAnsi" w:hAnsiTheme="minorHAnsi"/>
          <w:sz w:val="22"/>
        </w:rPr>
        <w:t>The</w:t>
      </w:r>
      <w:proofErr w:type="spellEnd"/>
      <w:r w:rsidRPr="00AD3DFF">
        <w:rPr>
          <w:rFonts w:asciiTheme="minorHAnsi" w:hAnsiTheme="minorHAnsi"/>
          <w:sz w:val="22"/>
        </w:rPr>
        <w:t xml:space="preserve"> New York </w:t>
      </w:r>
      <w:proofErr w:type="spellStart"/>
      <w:r w:rsidRPr="00AD3DFF">
        <w:rPr>
          <w:rFonts w:asciiTheme="minorHAnsi" w:hAnsiTheme="minorHAnsi"/>
          <w:sz w:val="22"/>
        </w:rPr>
        <w:t>Heart</w:t>
      </w:r>
      <w:proofErr w:type="spellEnd"/>
      <w:r w:rsidRPr="00AD3DFF">
        <w:rPr>
          <w:rFonts w:asciiTheme="minorHAnsi" w:hAnsiTheme="minorHAnsi"/>
          <w:sz w:val="22"/>
        </w:rPr>
        <w:t xml:space="preserve"> </w:t>
      </w:r>
      <w:proofErr w:type="spellStart"/>
      <w:r w:rsidRPr="00AD3DFF">
        <w:rPr>
          <w:rFonts w:asciiTheme="minorHAnsi" w:hAnsiTheme="minorHAnsi"/>
          <w:sz w:val="22"/>
        </w:rPr>
        <w:t>Association</w:t>
      </w:r>
      <w:proofErr w:type="spellEnd"/>
      <w:r w:rsidRPr="00AD3DFF">
        <w:rPr>
          <w:rFonts w:asciiTheme="minorHAnsi" w:hAnsiTheme="minorHAnsi"/>
          <w:sz w:val="22"/>
        </w:rPr>
        <w:t xml:space="preserve"> (NYHA) zavedla čtyřstupňový funkční klasifikační systém (uvádím zde jen jeho část):</w:t>
      </w:r>
    </w:p>
    <w:p w14:paraId="32F2073B" w14:textId="77777777" w:rsidR="00AD3DFF" w:rsidRPr="00AD3DFF" w:rsidRDefault="00AD3DFF" w:rsidP="002A55A2">
      <w:pPr>
        <w:jc w:val="both"/>
        <w:rPr>
          <w:rFonts w:asciiTheme="minorHAnsi" w:hAnsiTheme="minorHAnsi"/>
          <w:sz w:val="22"/>
        </w:rPr>
      </w:pPr>
      <w:r w:rsidRPr="00AD3DFF">
        <w:rPr>
          <w:rFonts w:asciiTheme="minorHAnsi" w:hAnsiTheme="minorHAnsi"/>
          <w:sz w:val="22"/>
        </w:rPr>
        <w:t>III = znatelná limitace aktivit pacienta pro příznaky dušnosti, i v průběhu méně než běžných aktivit, například chůze na krátkou vzdálenost (20–100 m). Ústup obtíží v klidu při odpočinku.</w:t>
      </w:r>
    </w:p>
    <w:p w14:paraId="0A0C2D5E" w14:textId="77777777" w:rsidR="00AD3DFF" w:rsidRPr="00AD3DFF" w:rsidRDefault="00AD3DFF" w:rsidP="002A55A2">
      <w:pPr>
        <w:jc w:val="both"/>
        <w:rPr>
          <w:rFonts w:asciiTheme="minorHAnsi" w:hAnsiTheme="minorHAnsi"/>
          <w:sz w:val="22"/>
        </w:rPr>
      </w:pPr>
      <w:r w:rsidRPr="00AD3DFF">
        <w:rPr>
          <w:rFonts w:asciiTheme="minorHAnsi" w:hAnsiTheme="minorHAnsi"/>
          <w:sz w:val="22"/>
        </w:rPr>
        <w:t xml:space="preserve">IV = závažná limitace. Příznaky dušnosti se u pacienta vyskytují i v klidu, pacienti jsou většinou vázáni na pobyt na lůžku.  </w:t>
      </w:r>
    </w:p>
    <w:p w14:paraId="103514D7" w14:textId="77777777" w:rsidR="00AD3DFF" w:rsidRPr="00AD3DFF" w:rsidRDefault="00AD3DFF" w:rsidP="002A55A2">
      <w:pPr>
        <w:jc w:val="both"/>
        <w:rPr>
          <w:rFonts w:asciiTheme="minorHAnsi" w:hAnsiTheme="minorHAnsi"/>
          <w:sz w:val="22"/>
        </w:rPr>
      </w:pPr>
      <w:r w:rsidRPr="00AD3DFF">
        <w:rPr>
          <w:rFonts w:asciiTheme="minorHAnsi" w:hAnsiTheme="minorHAnsi"/>
          <w:sz w:val="22"/>
        </w:rPr>
        <w:t>V době diagnózy je většina pacientů již ve stádiu III ev. IV podle této klasifikace.</w:t>
      </w:r>
    </w:p>
    <w:p w14:paraId="5F6D3D97" w14:textId="0DB2FB56" w:rsidR="00AD3DFF" w:rsidRPr="00AD3DFF" w:rsidRDefault="00AD3DFF" w:rsidP="002A55A2">
      <w:pPr>
        <w:jc w:val="both"/>
        <w:rPr>
          <w:rFonts w:asciiTheme="minorHAnsi" w:hAnsiTheme="minorHAnsi"/>
          <w:sz w:val="22"/>
        </w:rPr>
      </w:pPr>
      <w:r w:rsidRPr="00AD3DFF">
        <w:rPr>
          <w:rFonts w:asciiTheme="minorHAnsi" w:hAnsiTheme="minorHAnsi"/>
          <w:sz w:val="22"/>
        </w:rPr>
        <w:t xml:space="preserve">Výše uvedená roční mortalita ve výši 15 % se týká především pacientů ve stádiu IV. </w:t>
      </w:r>
      <w:r w:rsidR="002A55A2">
        <w:rPr>
          <w:rFonts w:asciiTheme="minorHAnsi" w:hAnsiTheme="minorHAnsi" w:cs="MinionPro-Regular"/>
          <w:sz w:val="22"/>
        </w:rPr>
        <w:t xml:space="preserve">Podle literatury se jedná o </w:t>
      </w:r>
      <w:r w:rsidRPr="00AD3DFF">
        <w:rPr>
          <w:rFonts w:asciiTheme="minorHAnsi" w:hAnsiTheme="minorHAnsi" w:cs="MinionPro-Regular"/>
          <w:sz w:val="22"/>
        </w:rPr>
        <w:t>progresivně se zhoršující onemocnění. Přežívání u neléčených pacientů (medián) s idiopatickou plicní hypertenzí byl 2.8 let</w:t>
      </w:r>
      <w:r w:rsidR="002A55A2">
        <w:rPr>
          <w:rFonts w:asciiTheme="minorHAnsi" w:hAnsiTheme="minorHAnsi" w:cs="MinionPro-Regular"/>
          <w:sz w:val="22"/>
        </w:rPr>
        <w:t>, s odhadovaným přežíváním 68 %</w:t>
      </w:r>
      <w:r w:rsidRPr="00AD3DFF">
        <w:rPr>
          <w:rFonts w:asciiTheme="minorHAnsi" w:hAnsiTheme="minorHAnsi" w:cs="MinionPro-Regular"/>
          <w:sz w:val="22"/>
        </w:rPr>
        <w:t xml:space="preserve"> v 1. roce, 48 % ve 3. roce a 34 % v 5. roce.</w:t>
      </w:r>
      <w:r w:rsidRPr="00AD3DFF">
        <w:rPr>
          <w:rFonts w:asciiTheme="minorHAnsi" w:hAnsiTheme="minorHAnsi"/>
          <w:sz w:val="22"/>
        </w:rPr>
        <w:t xml:space="preserve"> Účinnost </w:t>
      </w:r>
      <w:proofErr w:type="spellStart"/>
      <w:r w:rsidRPr="00AD3DFF">
        <w:rPr>
          <w:rFonts w:asciiTheme="minorHAnsi" w:hAnsiTheme="minorHAnsi"/>
          <w:sz w:val="22"/>
        </w:rPr>
        <w:t>epopro</w:t>
      </w:r>
      <w:r w:rsidR="002A55A2">
        <w:rPr>
          <w:rFonts w:asciiTheme="minorHAnsi" w:hAnsiTheme="minorHAnsi"/>
          <w:sz w:val="22"/>
        </w:rPr>
        <w:t>stenolu</w:t>
      </w:r>
      <w:proofErr w:type="spellEnd"/>
      <w:r w:rsidR="002A55A2">
        <w:rPr>
          <w:rFonts w:asciiTheme="minorHAnsi" w:hAnsiTheme="minorHAnsi"/>
          <w:sz w:val="22"/>
        </w:rPr>
        <w:t xml:space="preserve"> podávaného intravenózně</w:t>
      </w:r>
      <w:r w:rsidRPr="00AD3DFF">
        <w:rPr>
          <w:rFonts w:asciiTheme="minorHAnsi" w:hAnsiTheme="minorHAnsi"/>
          <w:sz w:val="22"/>
        </w:rPr>
        <w:t xml:space="preserve"> byla hodnocena v několika studiích. </w:t>
      </w:r>
      <w:proofErr w:type="spellStart"/>
      <w:r w:rsidRPr="00AD3DFF">
        <w:rPr>
          <w:rFonts w:asciiTheme="minorHAnsi" w:hAnsiTheme="minorHAnsi"/>
          <w:sz w:val="22"/>
        </w:rPr>
        <w:t>Epoprostenol</w:t>
      </w:r>
      <w:proofErr w:type="spellEnd"/>
      <w:r w:rsidRPr="00AD3DFF">
        <w:rPr>
          <w:rFonts w:asciiTheme="minorHAnsi" w:hAnsiTheme="minorHAnsi"/>
          <w:sz w:val="22"/>
        </w:rPr>
        <w:t xml:space="preserve"> vede ke zlepšen</w:t>
      </w:r>
      <w:r w:rsidR="002A55A2">
        <w:rPr>
          <w:rFonts w:asciiTheme="minorHAnsi" w:hAnsiTheme="minorHAnsi"/>
          <w:sz w:val="22"/>
        </w:rPr>
        <w:t>í symptomů, zátěžové kapacity a </w:t>
      </w:r>
      <w:proofErr w:type="spellStart"/>
      <w:r w:rsidRPr="00AD3DFF">
        <w:rPr>
          <w:rFonts w:asciiTheme="minorHAnsi" w:hAnsiTheme="minorHAnsi"/>
          <w:sz w:val="22"/>
        </w:rPr>
        <w:t>hemodynamických</w:t>
      </w:r>
      <w:proofErr w:type="spellEnd"/>
      <w:r w:rsidRPr="00AD3DFF">
        <w:rPr>
          <w:rFonts w:asciiTheme="minorHAnsi" w:hAnsiTheme="minorHAnsi"/>
          <w:sz w:val="22"/>
        </w:rPr>
        <w:t xml:space="preserve"> parametrů a představuje jedinou léčbu, která prokázala snížení úmrtnosti u idiopatické plicní arteriální hypertenze. Meta-analýza pro </w:t>
      </w:r>
      <w:r w:rsidRPr="00AD3DFF">
        <w:rPr>
          <w:rFonts w:asciiTheme="minorHAnsi" w:hAnsiTheme="minorHAnsi" w:cstheme="minorHAnsi"/>
          <w:sz w:val="22"/>
        </w:rPr>
        <w:t>celkovou úmrtnost 3 studií s </w:t>
      </w:r>
      <w:proofErr w:type="spellStart"/>
      <w:r w:rsidRPr="00AD3DFF">
        <w:rPr>
          <w:rFonts w:asciiTheme="minorHAnsi" w:hAnsiTheme="minorHAnsi" w:cstheme="minorHAnsi"/>
          <w:sz w:val="22"/>
        </w:rPr>
        <w:t>epoprostenolem</w:t>
      </w:r>
      <w:proofErr w:type="spellEnd"/>
      <w:r w:rsidRPr="00AD3DFF">
        <w:rPr>
          <w:rFonts w:asciiTheme="minorHAnsi" w:hAnsiTheme="minorHAnsi" w:cstheme="minorHAnsi"/>
          <w:sz w:val="22"/>
        </w:rPr>
        <w:t xml:space="preserve"> prokázala snížení rizika mortality o 70 %. S poskytnutím nových léčebných možností se přežívání pacientů postupně prodlužuje. V registru REVEAL bylo přežívání v 85 % v 1. roce, 68 % ve 3. roce, 57 % v 5. roce a 49 % v 7 roce od stanovení diagnózy.</w:t>
      </w:r>
      <w:r w:rsidRPr="00AD3DFF">
        <w:rPr>
          <w:rFonts w:asciiTheme="minorHAnsi" w:hAnsiTheme="minorHAnsi" w:cstheme="minorHAnsi"/>
          <w:sz w:val="22"/>
          <w:vertAlign w:val="superscript"/>
        </w:rPr>
        <w:t xml:space="preserve"> </w:t>
      </w:r>
    </w:p>
    <w:p w14:paraId="7CE0C09D" w14:textId="77777777" w:rsidR="00AD3DFF" w:rsidRPr="00AD3DFF" w:rsidRDefault="00AD3DFF" w:rsidP="002A55A2">
      <w:pPr>
        <w:jc w:val="both"/>
        <w:rPr>
          <w:rFonts w:asciiTheme="minorHAnsi" w:hAnsiTheme="minorHAnsi"/>
          <w:b/>
          <w:i/>
          <w:sz w:val="22"/>
        </w:rPr>
      </w:pPr>
      <w:r w:rsidRPr="00AD3DFF">
        <w:rPr>
          <w:rFonts w:asciiTheme="minorHAnsi" w:hAnsiTheme="minorHAnsi"/>
          <w:b/>
          <w:i/>
          <w:sz w:val="22"/>
        </w:rPr>
        <w:t xml:space="preserve">V jakém stádiu onemocnění je pumpa a příslušné léčivo indikováno? </w:t>
      </w:r>
    </w:p>
    <w:p w14:paraId="554A436A" w14:textId="36EDA15B" w:rsidR="00AD3DFF" w:rsidRPr="00AD3DFF" w:rsidRDefault="00AD3DFF" w:rsidP="002A55A2">
      <w:pPr>
        <w:jc w:val="both"/>
        <w:rPr>
          <w:rFonts w:asciiTheme="minorHAnsi" w:hAnsiTheme="minorHAnsi"/>
          <w:sz w:val="22"/>
        </w:rPr>
      </w:pPr>
      <w:r w:rsidRPr="00AD3DFF">
        <w:rPr>
          <w:rFonts w:asciiTheme="minorHAnsi" w:hAnsiTheme="minorHAnsi"/>
          <w:sz w:val="22"/>
        </w:rPr>
        <w:t xml:space="preserve">Pumpa je potřebná u pacientů, jimž byl předepsán </w:t>
      </w:r>
      <w:proofErr w:type="spellStart"/>
      <w:r w:rsidRPr="00AD3DFF">
        <w:rPr>
          <w:rFonts w:asciiTheme="minorHAnsi" w:hAnsiTheme="minorHAnsi"/>
          <w:sz w:val="22"/>
        </w:rPr>
        <w:t>epoprostenol</w:t>
      </w:r>
      <w:proofErr w:type="spellEnd"/>
      <w:r w:rsidRPr="00AD3DFF">
        <w:rPr>
          <w:rFonts w:asciiTheme="minorHAnsi" w:hAnsiTheme="minorHAnsi"/>
          <w:sz w:val="22"/>
        </w:rPr>
        <w:t xml:space="preserve"> (</w:t>
      </w:r>
      <w:proofErr w:type="spellStart"/>
      <w:r w:rsidRPr="00AD3DFF">
        <w:rPr>
          <w:rFonts w:asciiTheme="minorHAnsi" w:hAnsiTheme="minorHAnsi"/>
          <w:sz w:val="22"/>
        </w:rPr>
        <w:t>Flolan</w:t>
      </w:r>
      <w:proofErr w:type="spellEnd"/>
      <w:r w:rsidRPr="00AD3DFF">
        <w:rPr>
          <w:rFonts w:asciiTheme="minorHAnsi" w:hAnsiTheme="minorHAnsi"/>
          <w:sz w:val="22"/>
        </w:rPr>
        <w:t xml:space="preserve">, </w:t>
      </w:r>
      <w:proofErr w:type="spellStart"/>
      <w:r w:rsidRPr="00AD3DFF">
        <w:rPr>
          <w:rFonts w:asciiTheme="minorHAnsi" w:hAnsiTheme="minorHAnsi"/>
          <w:sz w:val="22"/>
        </w:rPr>
        <w:t>Veletri</w:t>
      </w:r>
      <w:proofErr w:type="spellEnd"/>
      <w:r w:rsidRPr="00AD3DFF">
        <w:rPr>
          <w:rFonts w:asciiTheme="minorHAnsi" w:hAnsiTheme="minorHAnsi"/>
          <w:sz w:val="22"/>
        </w:rPr>
        <w:t xml:space="preserve">). Podávání </w:t>
      </w:r>
      <w:proofErr w:type="spellStart"/>
      <w:r w:rsidRPr="00AD3DFF">
        <w:rPr>
          <w:rFonts w:asciiTheme="minorHAnsi" w:hAnsiTheme="minorHAnsi"/>
          <w:sz w:val="22"/>
        </w:rPr>
        <w:t>epoprostenolu</w:t>
      </w:r>
      <w:proofErr w:type="spellEnd"/>
      <w:r w:rsidRPr="00AD3DFF">
        <w:rPr>
          <w:rFonts w:asciiTheme="minorHAnsi" w:hAnsiTheme="minorHAnsi"/>
          <w:sz w:val="22"/>
        </w:rPr>
        <w:t xml:space="preserve"> pacientům ve formě kontinuální 24 hodinové infúze</w:t>
      </w:r>
      <w:r w:rsidR="002A55A2">
        <w:rPr>
          <w:rFonts w:asciiTheme="minorHAnsi" w:hAnsiTheme="minorHAnsi"/>
          <w:sz w:val="22"/>
        </w:rPr>
        <w:t xml:space="preserve"> prostřednictvím ambulantní infu</w:t>
      </w:r>
      <w:r w:rsidRPr="00AD3DFF">
        <w:rPr>
          <w:rFonts w:asciiTheme="minorHAnsi" w:hAnsiTheme="minorHAnsi"/>
          <w:sz w:val="22"/>
        </w:rPr>
        <w:t>zní pumpy je nutné z důvodu krátkého poločasu léčiva (3</w:t>
      </w:r>
      <w:r w:rsidR="002A55A2">
        <w:rPr>
          <w:rFonts w:asciiTheme="minorHAnsi" w:hAnsiTheme="minorHAnsi"/>
          <w:sz w:val="22"/>
        </w:rPr>
        <w:t xml:space="preserve"> až </w:t>
      </w:r>
      <w:r w:rsidRPr="00AD3DFF">
        <w:rPr>
          <w:rFonts w:asciiTheme="minorHAnsi" w:hAnsiTheme="minorHAnsi"/>
          <w:sz w:val="22"/>
        </w:rPr>
        <w:t xml:space="preserve">5 minut). Léčivo je pumpou dávkováno prostřednictvím intravenózně zavedeného permanentního katetru. </w:t>
      </w:r>
    </w:p>
    <w:p w14:paraId="1D09276E" w14:textId="1D9E01C1" w:rsidR="00AD3DFF" w:rsidRPr="00AD3DFF" w:rsidRDefault="00AD3DFF" w:rsidP="002A55A2">
      <w:pPr>
        <w:jc w:val="both"/>
        <w:rPr>
          <w:rFonts w:asciiTheme="minorHAnsi" w:hAnsiTheme="minorHAnsi"/>
          <w:sz w:val="22"/>
        </w:rPr>
      </w:pPr>
      <w:proofErr w:type="spellStart"/>
      <w:r w:rsidRPr="00AD3DFF">
        <w:rPr>
          <w:rFonts w:asciiTheme="minorHAnsi" w:hAnsiTheme="minorHAnsi"/>
          <w:sz w:val="22"/>
        </w:rPr>
        <w:t>Epoprostenol</w:t>
      </w:r>
      <w:proofErr w:type="spellEnd"/>
      <w:r w:rsidRPr="00AD3DFF">
        <w:rPr>
          <w:rFonts w:asciiTheme="minorHAnsi" w:hAnsiTheme="minorHAnsi"/>
          <w:sz w:val="22"/>
        </w:rPr>
        <w:t xml:space="preserve">, např. přípravek </w:t>
      </w:r>
      <w:proofErr w:type="spellStart"/>
      <w:r w:rsidRPr="00AD3DFF">
        <w:rPr>
          <w:rFonts w:asciiTheme="minorHAnsi" w:hAnsiTheme="minorHAnsi"/>
          <w:sz w:val="22"/>
        </w:rPr>
        <w:t>Flolan</w:t>
      </w:r>
      <w:proofErr w:type="spellEnd"/>
      <w:r w:rsidRPr="00AD3DFF">
        <w:rPr>
          <w:rFonts w:asciiTheme="minorHAnsi" w:hAnsiTheme="minorHAnsi"/>
          <w:sz w:val="22"/>
        </w:rPr>
        <w:t>, je podle SPC indikován k léčbě pacientů s plicní arteriální hypertenzí u pacientů se symptomy III-IV funkční třídy podle WHO. Absolutní počet pacientů s plicní arteriální hypertenzí se symptomy III-IV je v České republice cca 300, přičemž většina z nových diagnostikovaných</w:t>
      </w:r>
      <w:r w:rsidR="002A55A2">
        <w:rPr>
          <w:rFonts w:asciiTheme="minorHAnsi" w:hAnsiTheme="minorHAnsi"/>
          <w:sz w:val="22"/>
        </w:rPr>
        <w:t xml:space="preserve"> je v </w:t>
      </w:r>
      <w:r w:rsidRPr="00AD3DFF">
        <w:rPr>
          <w:rFonts w:asciiTheme="minorHAnsi" w:hAnsiTheme="minorHAnsi"/>
          <w:sz w:val="22"/>
        </w:rPr>
        <w:t>tomto stádiu. Léčivo je předepisováno především pacientům s tíží dušnosti v klasifikaci IV (nebo na rozhraní NYHA III-IV). Ve třídě III je většinou preferována kombinovaná perorální léčba. Z tohoto důvodu je pumpa pro dávkování léčiva i</w:t>
      </w:r>
      <w:r w:rsidR="002A55A2">
        <w:rPr>
          <w:rFonts w:asciiTheme="minorHAnsi" w:hAnsiTheme="minorHAnsi"/>
          <w:sz w:val="22"/>
        </w:rPr>
        <w:t>ndikována pro 20 - 30 % pacientů s</w:t>
      </w:r>
      <w:r w:rsidRPr="00AD3DFF">
        <w:rPr>
          <w:rFonts w:asciiTheme="minorHAnsi" w:hAnsiTheme="minorHAnsi"/>
          <w:sz w:val="22"/>
        </w:rPr>
        <w:t xml:space="preserve"> plicní arteriální hypertenzí se symptomy IV třídy, po nedosažení terapeutického efektu při perorální léčbě při symptomech III třídy.</w:t>
      </w:r>
    </w:p>
    <w:p w14:paraId="033A6C59" w14:textId="77777777" w:rsidR="00AD3DFF" w:rsidRPr="00AD3DFF" w:rsidRDefault="00AD3DFF" w:rsidP="002A55A2">
      <w:pPr>
        <w:jc w:val="both"/>
        <w:rPr>
          <w:rFonts w:asciiTheme="minorHAnsi" w:hAnsiTheme="minorHAnsi"/>
          <w:sz w:val="22"/>
        </w:rPr>
      </w:pPr>
      <w:r w:rsidRPr="00AD3DFF">
        <w:rPr>
          <w:rFonts w:asciiTheme="minorHAnsi" w:hAnsiTheme="minorHAnsi"/>
          <w:sz w:val="22"/>
        </w:rPr>
        <w:lastRenderedPageBreak/>
        <w:t xml:space="preserve">Pokud jde o počet pracovišť specializovaných na tuto léčbu, jedná se o 3 Centra plicní arteriální hypertenze (VFN v Praze, IKEM, FN v Olomouci). K obsluze pumpy jsou pacienti zaškolováni na specializovaných pracovištích zabývajících se touto léčbou. V současné době je </w:t>
      </w:r>
      <w:proofErr w:type="spellStart"/>
      <w:r w:rsidRPr="00AD3DFF">
        <w:rPr>
          <w:rFonts w:asciiTheme="minorHAnsi" w:hAnsiTheme="minorHAnsi"/>
          <w:sz w:val="22"/>
        </w:rPr>
        <w:t>epoprostenol</w:t>
      </w:r>
      <w:proofErr w:type="spellEnd"/>
      <w:r w:rsidRPr="00AD3DFF">
        <w:rPr>
          <w:rFonts w:asciiTheme="minorHAnsi" w:hAnsiTheme="minorHAnsi"/>
          <w:sz w:val="22"/>
        </w:rPr>
        <w:t xml:space="preserve"> indikován v centru při II. interní klinice VFN v Praze a v </w:t>
      </w:r>
      <w:proofErr w:type="spellStart"/>
      <w:r w:rsidRPr="00AD3DFF">
        <w:rPr>
          <w:rFonts w:asciiTheme="minorHAnsi" w:hAnsiTheme="minorHAnsi"/>
          <w:sz w:val="22"/>
        </w:rPr>
        <w:t>IKEMu</w:t>
      </w:r>
      <w:proofErr w:type="spellEnd"/>
      <w:r w:rsidRPr="00AD3DFF">
        <w:rPr>
          <w:rFonts w:asciiTheme="minorHAnsi" w:hAnsiTheme="minorHAnsi"/>
          <w:sz w:val="22"/>
        </w:rPr>
        <w:t xml:space="preserve">. Tato centra mají specifickou smlouvu se zdravotními pojišťovnami o úhradě této léčby. </w:t>
      </w:r>
    </w:p>
    <w:p w14:paraId="735B4D73" w14:textId="77777777" w:rsidR="00AD3DFF" w:rsidRPr="00AD3DFF" w:rsidRDefault="00AD3DFF" w:rsidP="002A55A2">
      <w:pPr>
        <w:jc w:val="both"/>
        <w:rPr>
          <w:rFonts w:asciiTheme="minorHAnsi" w:hAnsiTheme="minorHAnsi"/>
          <w:b/>
          <w:i/>
          <w:sz w:val="22"/>
        </w:rPr>
      </w:pPr>
      <w:r w:rsidRPr="00AD3DFF">
        <w:rPr>
          <w:rFonts w:asciiTheme="minorHAnsi" w:hAnsiTheme="minorHAnsi"/>
          <w:b/>
          <w:i/>
          <w:sz w:val="22"/>
        </w:rPr>
        <w:t>Jaký je celkový počet pacientů indikovaný pro použití dávkování léčiva pumpou?</w:t>
      </w:r>
    </w:p>
    <w:p w14:paraId="10B71AAF" w14:textId="30DD91BA" w:rsidR="00AD3DFF" w:rsidRPr="00AD3DFF" w:rsidRDefault="00AD3DFF" w:rsidP="002A55A2">
      <w:pPr>
        <w:jc w:val="both"/>
        <w:rPr>
          <w:rFonts w:asciiTheme="minorHAnsi" w:hAnsiTheme="minorHAnsi"/>
          <w:sz w:val="22"/>
        </w:rPr>
      </w:pPr>
      <w:r w:rsidRPr="00AD3DFF">
        <w:rPr>
          <w:rFonts w:asciiTheme="minorHAnsi" w:hAnsiTheme="minorHAnsi"/>
          <w:sz w:val="22"/>
        </w:rPr>
        <w:t xml:space="preserve">Jak již bylo dříve uvedeno, z nových cca 50 pacientů ročně je pro nasazení pumpy indikováno </w:t>
      </w:r>
      <w:proofErr w:type="gramStart"/>
      <w:r w:rsidRPr="00AD3DFF">
        <w:rPr>
          <w:rFonts w:asciiTheme="minorHAnsi" w:hAnsiTheme="minorHAnsi"/>
          <w:sz w:val="22"/>
        </w:rPr>
        <w:t>25</w:t>
      </w:r>
      <w:r w:rsidR="002A55A2">
        <w:rPr>
          <w:rFonts w:asciiTheme="minorHAnsi" w:hAnsiTheme="minorHAnsi"/>
          <w:sz w:val="22"/>
        </w:rPr>
        <w:t xml:space="preserve"> - </w:t>
      </w:r>
      <w:r w:rsidRPr="00AD3DFF">
        <w:rPr>
          <w:rFonts w:asciiTheme="minorHAnsi" w:hAnsiTheme="minorHAnsi"/>
          <w:sz w:val="22"/>
        </w:rPr>
        <w:t>30</w:t>
      </w:r>
      <w:proofErr w:type="gramEnd"/>
      <w:r w:rsidR="002A55A2">
        <w:rPr>
          <w:rFonts w:asciiTheme="minorHAnsi" w:hAnsiTheme="minorHAnsi"/>
          <w:sz w:val="22"/>
        </w:rPr>
        <w:t xml:space="preserve"> </w:t>
      </w:r>
      <w:r w:rsidRPr="00AD3DFF">
        <w:rPr>
          <w:rFonts w:asciiTheme="minorHAnsi" w:hAnsiTheme="minorHAnsi"/>
          <w:sz w:val="22"/>
        </w:rPr>
        <w:t>% pacientů, což představuje 15 pacientů, které je třeba vybavit inf</w:t>
      </w:r>
      <w:r w:rsidR="007A38BE">
        <w:rPr>
          <w:rFonts w:asciiTheme="minorHAnsi" w:hAnsiTheme="minorHAnsi"/>
          <w:sz w:val="22"/>
        </w:rPr>
        <w:t>u</w:t>
      </w:r>
      <w:r w:rsidRPr="00AD3DFF">
        <w:rPr>
          <w:rFonts w:asciiTheme="minorHAnsi" w:hAnsiTheme="minorHAnsi"/>
          <w:sz w:val="22"/>
        </w:rPr>
        <w:t>zní pumpou. Závažné nežádoucí příhody spojené se způsobem podávání léčiva však představují situace spojené s poruchou pumpy. Infúzi je možné bez komplikací přerušit na dobu max. 15</w:t>
      </w:r>
      <w:r w:rsidR="002A55A2">
        <w:rPr>
          <w:rFonts w:asciiTheme="minorHAnsi" w:hAnsiTheme="minorHAnsi"/>
          <w:sz w:val="22"/>
        </w:rPr>
        <w:t xml:space="preserve"> </w:t>
      </w:r>
      <w:r w:rsidRPr="00AD3DFF">
        <w:rPr>
          <w:rFonts w:asciiTheme="minorHAnsi" w:hAnsiTheme="minorHAnsi"/>
          <w:sz w:val="22"/>
        </w:rPr>
        <w:t>-</w:t>
      </w:r>
      <w:r w:rsidR="002A55A2">
        <w:rPr>
          <w:rFonts w:asciiTheme="minorHAnsi" w:hAnsiTheme="minorHAnsi"/>
          <w:sz w:val="22"/>
        </w:rPr>
        <w:t xml:space="preserve"> </w:t>
      </w:r>
      <w:r w:rsidRPr="00AD3DFF">
        <w:rPr>
          <w:rFonts w:asciiTheme="minorHAnsi" w:hAnsiTheme="minorHAnsi"/>
          <w:sz w:val="22"/>
        </w:rPr>
        <w:t xml:space="preserve">20 minut. </w:t>
      </w:r>
      <w:r w:rsidR="002A55A2">
        <w:rPr>
          <w:rFonts w:asciiTheme="minorHAnsi" w:hAnsiTheme="minorHAnsi"/>
          <w:sz w:val="22"/>
        </w:rPr>
        <w:t>Pacient</w:t>
      </w:r>
      <w:r w:rsidRPr="00AD3DFF">
        <w:rPr>
          <w:rFonts w:asciiTheme="minorHAnsi" w:hAnsiTheme="minorHAnsi"/>
          <w:sz w:val="22"/>
        </w:rPr>
        <w:t xml:space="preserve"> tedy musí být vybaven 2 pumpami. Jejich životnost je výrobcem deklarována na 10 let, což představuje větší trvanlivost pumpy, než je průměrné dožití pacientů. Z důvodu ekonomického nakládání se zdroji veřejného zdravotn</w:t>
      </w:r>
      <w:r w:rsidR="002A3BCE">
        <w:rPr>
          <w:rFonts w:asciiTheme="minorHAnsi" w:hAnsiTheme="minorHAnsi"/>
          <w:sz w:val="22"/>
        </w:rPr>
        <w:t>ího pojištění proto navrhuj</w:t>
      </w:r>
      <w:r w:rsidR="007A38BE">
        <w:rPr>
          <w:rFonts w:asciiTheme="minorHAnsi" w:hAnsiTheme="minorHAnsi"/>
          <w:sz w:val="22"/>
        </w:rPr>
        <w:t>i</w:t>
      </w:r>
      <w:r w:rsidR="002A55A2">
        <w:rPr>
          <w:rFonts w:asciiTheme="minorHAnsi" w:hAnsiTheme="minorHAnsi"/>
          <w:sz w:val="22"/>
        </w:rPr>
        <w:t xml:space="preserve"> </w:t>
      </w:r>
      <w:r w:rsidRPr="00AD3DFF">
        <w:rPr>
          <w:rFonts w:asciiTheme="minorHAnsi" w:hAnsiTheme="minorHAnsi"/>
          <w:sz w:val="22"/>
        </w:rPr>
        <w:t xml:space="preserve">režim pump v cirkulaci. Celkem se tedy </w:t>
      </w:r>
      <w:r w:rsidR="002A55A2">
        <w:rPr>
          <w:rFonts w:asciiTheme="minorHAnsi" w:hAnsiTheme="minorHAnsi"/>
          <w:sz w:val="22"/>
        </w:rPr>
        <w:t>jedná o úhradu 30 ks infu</w:t>
      </w:r>
      <w:r w:rsidRPr="00AD3DFF">
        <w:rPr>
          <w:rFonts w:asciiTheme="minorHAnsi" w:hAnsiTheme="minorHAnsi"/>
          <w:sz w:val="22"/>
        </w:rPr>
        <w:t>zních pump ročně.</w:t>
      </w:r>
    </w:p>
    <w:p w14:paraId="5B877753" w14:textId="236FCA80" w:rsidR="00AD3DFF" w:rsidRPr="00AD3DFF" w:rsidRDefault="00AD3DFF" w:rsidP="002A55A2">
      <w:pPr>
        <w:jc w:val="both"/>
        <w:rPr>
          <w:rFonts w:asciiTheme="minorHAnsi" w:hAnsiTheme="minorHAnsi"/>
          <w:sz w:val="22"/>
        </w:rPr>
      </w:pPr>
      <w:r w:rsidRPr="00AD3DFF">
        <w:rPr>
          <w:rFonts w:asciiTheme="minorHAnsi" w:hAnsiTheme="minorHAnsi"/>
          <w:sz w:val="22"/>
        </w:rPr>
        <w:t>Vzhl</w:t>
      </w:r>
      <w:r w:rsidR="002A55A2">
        <w:rPr>
          <w:rFonts w:asciiTheme="minorHAnsi" w:hAnsiTheme="minorHAnsi"/>
          <w:sz w:val="22"/>
        </w:rPr>
        <w:t>edem k celkovému počtu pacientů</w:t>
      </w:r>
      <w:r w:rsidRPr="00AD3DFF">
        <w:rPr>
          <w:rFonts w:asciiTheme="minorHAnsi" w:hAnsiTheme="minorHAnsi"/>
          <w:sz w:val="22"/>
        </w:rPr>
        <w:t>, kterých je, jak již bylo uvedeno, cca 300 ve IV funkční třídě, bude postupně pro použití pump indikováno 25</w:t>
      </w:r>
      <w:r w:rsidR="002A55A2">
        <w:rPr>
          <w:rFonts w:asciiTheme="minorHAnsi" w:hAnsiTheme="minorHAnsi"/>
          <w:sz w:val="22"/>
        </w:rPr>
        <w:t xml:space="preserve"> – </w:t>
      </w:r>
      <w:r w:rsidRPr="00AD3DFF">
        <w:rPr>
          <w:rFonts w:asciiTheme="minorHAnsi" w:hAnsiTheme="minorHAnsi"/>
          <w:sz w:val="22"/>
        </w:rPr>
        <w:t>30</w:t>
      </w:r>
      <w:r w:rsidR="002A55A2">
        <w:rPr>
          <w:rFonts w:asciiTheme="minorHAnsi" w:hAnsiTheme="minorHAnsi"/>
          <w:sz w:val="22"/>
        </w:rPr>
        <w:t xml:space="preserve"> </w:t>
      </w:r>
      <w:r w:rsidRPr="00AD3DFF">
        <w:rPr>
          <w:rFonts w:asciiTheme="minorHAnsi" w:hAnsiTheme="minorHAnsi"/>
          <w:sz w:val="22"/>
        </w:rPr>
        <w:t>% pacientů, což představuje celkem 90 pacientů, pro které je třeba kalkulovat s nákladem na spotřební materiál k pumpám, tedy na zásobníky léčiva</w:t>
      </w:r>
      <w:r w:rsidR="002A55A2">
        <w:rPr>
          <w:rFonts w:asciiTheme="minorHAnsi" w:hAnsiTheme="minorHAnsi"/>
          <w:sz w:val="22"/>
        </w:rPr>
        <w:t xml:space="preserve"> a infu</w:t>
      </w:r>
      <w:r w:rsidRPr="00AD3DFF">
        <w:rPr>
          <w:rFonts w:asciiTheme="minorHAnsi" w:hAnsiTheme="minorHAnsi"/>
          <w:sz w:val="22"/>
        </w:rPr>
        <w:t>zní linky (kanyly).</w:t>
      </w:r>
    </w:p>
    <w:p w14:paraId="76F99D7D" w14:textId="1F97B5F3" w:rsidR="00AD3DFF" w:rsidRPr="00AD3DFF" w:rsidRDefault="00AD3DFF" w:rsidP="002A55A2">
      <w:pPr>
        <w:jc w:val="both"/>
        <w:rPr>
          <w:rFonts w:asciiTheme="minorHAnsi" w:hAnsiTheme="minorHAnsi"/>
          <w:b/>
          <w:i/>
          <w:sz w:val="22"/>
        </w:rPr>
      </w:pPr>
      <w:r w:rsidRPr="00AD3DFF">
        <w:rPr>
          <w:rFonts w:asciiTheme="minorHAnsi" w:hAnsiTheme="minorHAnsi"/>
          <w:b/>
          <w:i/>
          <w:sz w:val="22"/>
        </w:rPr>
        <w:t>Celkový dopad do nákladů veřejného zdravotního pojištění</w:t>
      </w:r>
      <w:r w:rsidR="00DE7EE6">
        <w:rPr>
          <w:rFonts w:asciiTheme="minorHAnsi" w:hAnsiTheme="minorHAnsi"/>
          <w:b/>
          <w:i/>
          <w:sz w:val="22"/>
        </w:rPr>
        <w:t>:</w:t>
      </w:r>
    </w:p>
    <w:p w14:paraId="25242974" w14:textId="1F4EEC3C" w:rsidR="00DE7EE6" w:rsidRPr="00CE0849" w:rsidRDefault="002A55A2" w:rsidP="002A55A2">
      <w:pPr>
        <w:jc w:val="both"/>
        <w:rPr>
          <w:rFonts w:asciiTheme="minorHAnsi" w:hAnsiTheme="minorHAnsi"/>
          <w:sz w:val="22"/>
        </w:rPr>
      </w:pPr>
      <w:r w:rsidRPr="00AF572B">
        <w:rPr>
          <w:rFonts w:asciiTheme="minorHAnsi" w:hAnsiTheme="minorHAnsi"/>
          <w:sz w:val="22"/>
        </w:rPr>
        <w:t>Průměrná cena infu</w:t>
      </w:r>
      <w:r w:rsidR="00AD3DFF" w:rsidRPr="00AF572B">
        <w:rPr>
          <w:rFonts w:asciiTheme="minorHAnsi" w:hAnsiTheme="minorHAnsi"/>
          <w:sz w:val="22"/>
        </w:rPr>
        <w:t>zní pumpy pro podávání léčiva činí 4</w:t>
      </w:r>
      <w:r w:rsidR="00AF572B" w:rsidRPr="00AF572B">
        <w:rPr>
          <w:rFonts w:asciiTheme="minorHAnsi" w:hAnsiTheme="minorHAnsi"/>
          <w:sz w:val="22"/>
        </w:rPr>
        <w:t>3.40</w:t>
      </w:r>
      <w:r w:rsidR="00AD3DFF" w:rsidRPr="00AF572B">
        <w:rPr>
          <w:rFonts w:asciiTheme="minorHAnsi" w:hAnsiTheme="minorHAnsi"/>
          <w:sz w:val="22"/>
        </w:rPr>
        <w:t xml:space="preserve">0 Kč za kus, což při dvou pumpách pro jednoho pacienta </w:t>
      </w:r>
      <w:r w:rsidR="00AF572B" w:rsidRPr="00AF572B">
        <w:rPr>
          <w:rFonts w:asciiTheme="minorHAnsi" w:hAnsiTheme="minorHAnsi"/>
          <w:sz w:val="22"/>
        </w:rPr>
        <w:t xml:space="preserve">na období 2 let, </w:t>
      </w:r>
      <w:r w:rsidR="00AD3DFF" w:rsidRPr="00AF572B">
        <w:rPr>
          <w:rFonts w:asciiTheme="minorHAnsi" w:hAnsiTheme="minorHAnsi"/>
          <w:sz w:val="22"/>
        </w:rPr>
        <w:t xml:space="preserve">incidenci 15 </w:t>
      </w:r>
      <w:proofErr w:type="gramStart"/>
      <w:r w:rsidR="00AD3DFF" w:rsidRPr="00AF572B">
        <w:rPr>
          <w:rFonts w:asciiTheme="minorHAnsi" w:hAnsiTheme="minorHAnsi"/>
          <w:sz w:val="22"/>
        </w:rPr>
        <w:t xml:space="preserve">pacientů </w:t>
      </w:r>
      <w:r w:rsidR="007A38BE">
        <w:rPr>
          <w:rFonts w:asciiTheme="minorHAnsi" w:hAnsiTheme="minorHAnsi"/>
          <w:sz w:val="22"/>
        </w:rPr>
        <w:t xml:space="preserve"> a</w:t>
      </w:r>
      <w:proofErr w:type="gramEnd"/>
      <w:r w:rsidR="007A38BE">
        <w:rPr>
          <w:rFonts w:asciiTheme="minorHAnsi" w:hAnsiTheme="minorHAnsi"/>
          <w:sz w:val="22"/>
        </w:rPr>
        <w:t> </w:t>
      </w:r>
      <w:r w:rsidR="00AF572B" w:rsidRPr="00CE0849">
        <w:rPr>
          <w:rFonts w:asciiTheme="minorHAnsi" w:hAnsiTheme="minorHAnsi"/>
          <w:sz w:val="22"/>
        </w:rPr>
        <w:t xml:space="preserve">celkovém počtu </w:t>
      </w:r>
      <w:r w:rsidR="00AD3DFF" w:rsidRPr="00CE0849">
        <w:rPr>
          <w:rFonts w:asciiTheme="minorHAnsi" w:hAnsiTheme="minorHAnsi"/>
          <w:sz w:val="22"/>
        </w:rPr>
        <w:t xml:space="preserve">90 léčených pacientů představuje </w:t>
      </w:r>
      <w:r w:rsidR="00AF572B" w:rsidRPr="00CE0849">
        <w:rPr>
          <w:rFonts w:asciiTheme="minorHAnsi" w:hAnsiTheme="minorHAnsi"/>
          <w:sz w:val="22"/>
        </w:rPr>
        <w:t xml:space="preserve">průměrný přepočtený roční </w:t>
      </w:r>
      <w:r w:rsidR="00AD3DFF" w:rsidRPr="00CE0849">
        <w:rPr>
          <w:rFonts w:asciiTheme="minorHAnsi" w:hAnsiTheme="minorHAnsi"/>
          <w:sz w:val="22"/>
        </w:rPr>
        <w:t>náklad 1</w:t>
      </w:r>
      <w:r w:rsidR="00AF572B" w:rsidRPr="00CE0849">
        <w:rPr>
          <w:rFonts w:asciiTheme="minorHAnsi" w:hAnsiTheme="minorHAnsi"/>
          <w:sz w:val="22"/>
        </w:rPr>
        <w:t>6.498.8</w:t>
      </w:r>
      <w:r w:rsidR="00AD3DFF" w:rsidRPr="00CE0849">
        <w:rPr>
          <w:rFonts w:asciiTheme="minorHAnsi" w:hAnsiTheme="minorHAnsi"/>
          <w:sz w:val="22"/>
        </w:rPr>
        <w:t xml:space="preserve">00 Kč. </w:t>
      </w:r>
    </w:p>
    <w:p w14:paraId="460F62FF" w14:textId="77777777" w:rsidR="00C87367" w:rsidRPr="00E20A56" w:rsidRDefault="00DE7EE6" w:rsidP="002A55A2">
      <w:pPr>
        <w:jc w:val="both"/>
        <w:rPr>
          <w:rFonts w:asciiTheme="minorHAnsi" w:hAnsiTheme="minorHAnsi"/>
          <w:b/>
          <w:sz w:val="22"/>
        </w:rPr>
      </w:pPr>
      <w:r w:rsidRPr="00CE0849">
        <w:rPr>
          <w:rFonts w:asciiTheme="minorHAnsi" w:hAnsiTheme="minorHAnsi"/>
          <w:b/>
          <w:sz w:val="22"/>
        </w:rPr>
        <w:t xml:space="preserve">Zařazením těchto zdravotnických prostředků do úhrad z veřejného zdravotního pojištění ale prakticky nedojde ke zvýšení nákladů systému, </w:t>
      </w:r>
      <w:r w:rsidR="00A550A1" w:rsidRPr="00CE0849">
        <w:rPr>
          <w:rFonts w:asciiTheme="minorHAnsi" w:hAnsiTheme="minorHAnsi"/>
          <w:b/>
          <w:sz w:val="22"/>
        </w:rPr>
        <w:t xml:space="preserve">protože pokud byli </w:t>
      </w:r>
      <w:r w:rsidR="00A550A1" w:rsidRPr="00E20A56">
        <w:rPr>
          <w:rFonts w:asciiTheme="minorHAnsi" w:hAnsiTheme="minorHAnsi"/>
          <w:b/>
          <w:sz w:val="22"/>
        </w:rPr>
        <w:t>pacienti infu</w:t>
      </w:r>
      <w:r w:rsidRPr="00E20A56">
        <w:rPr>
          <w:rFonts w:asciiTheme="minorHAnsi" w:hAnsiTheme="minorHAnsi"/>
          <w:b/>
          <w:sz w:val="22"/>
        </w:rPr>
        <w:t>zními pumpami vybavování, již nyní se tak dělo na náklady příslušných zdravotnických zařízení, kterým tento náklad do budoucna odpadne.</w:t>
      </w:r>
      <w:r w:rsidR="00A550A1" w:rsidRPr="00E20A56">
        <w:rPr>
          <w:rFonts w:asciiTheme="minorHAnsi" w:hAnsiTheme="minorHAnsi"/>
          <w:b/>
          <w:sz w:val="22"/>
        </w:rPr>
        <w:t xml:space="preserve"> </w:t>
      </w:r>
    </w:p>
    <w:p w14:paraId="19AC159B" w14:textId="4D4C66FE" w:rsidR="00927D0D" w:rsidRDefault="00C87367" w:rsidP="007A38BE">
      <w:pPr>
        <w:jc w:val="both"/>
      </w:pPr>
      <w:r w:rsidRPr="00E20A56">
        <w:rPr>
          <w:rFonts w:asciiTheme="minorHAnsi" w:hAnsiTheme="minorHAnsi"/>
          <w:b/>
          <w:sz w:val="22"/>
        </w:rPr>
        <w:t xml:space="preserve">Kromě toho dochází k postupnému poklesu nákladů na léčivé přípravky. Při porovnání stanovených úhrad přípravku </w:t>
      </w:r>
      <w:proofErr w:type="spellStart"/>
      <w:r w:rsidRPr="00E20A56">
        <w:rPr>
          <w:rFonts w:asciiTheme="minorHAnsi" w:hAnsiTheme="minorHAnsi"/>
          <w:b/>
          <w:sz w:val="22"/>
        </w:rPr>
        <w:t>Flolan</w:t>
      </w:r>
      <w:proofErr w:type="spellEnd"/>
      <w:r w:rsidRPr="00E20A56">
        <w:rPr>
          <w:rFonts w:asciiTheme="minorHAnsi" w:hAnsiTheme="minorHAnsi"/>
          <w:b/>
          <w:sz w:val="22"/>
        </w:rPr>
        <w:t xml:space="preserve"> (</w:t>
      </w:r>
      <w:proofErr w:type="spellStart"/>
      <w:r w:rsidRPr="00E20A56">
        <w:rPr>
          <w:rFonts w:asciiTheme="minorHAnsi" w:hAnsiTheme="minorHAnsi"/>
          <w:b/>
          <w:sz w:val="22"/>
        </w:rPr>
        <w:t>epoprostenol</w:t>
      </w:r>
      <w:proofErr w:type="spellEnd"/>
      <w:r w:rsidRPr="00E20A56">
        <w:rPr>
          <w:rFonts w:asciiTheme="minorHAnsi" w:hAnsiTheme="minorHAnsi"/>
          <w:b/>
          <w:sz w:val="22"/>
        </w:rPr>
        <w:t>) v období let 2016 až 2018 došlo k p</w:t>
      </w:r>
      <w:r w:rsidR="007A38BE">
        <w:rPr>
          <w:rFonts w:asciiTheme="minorHAnsi" w:hAnsiTheme="minorHAnsi"/>
          <w:b/>
          <w:sz w:val="22"/>
        </w:rPr>
        <w:t>oklesu úhrad, a tedy i</w:t>
      </w:r>
      <w:r w:rsidRPr="00E20A56">
        <w:rPr>
          <w:rFonts w:asciiTheme="minorHAnsi" w:hAnsiTheme="minorHAnsi"/>
          <w:b/>
          <w:sz w:val="22"/>
        </w:rPr>
        <w:t xml:space="preserve"> nákladů z veřejného zdravotního pojištění o 34</w:t>
      </w:r>
      <w:r w:rsidR="007A38BE">
        <w:rPr>
          <w:rFonts w:asciiTheme="minorHAnsi" w:hAnsiTheme="minorHAnsi"/>
          <w:b/>
          <w:sz w:val="22"/>
        </w:rPr>
        <w:t xml:space="preserve"> %. Úspora na jednoho pacienta v tomto období tak činí 754.</w:t>
      </w:r>
      <w:r w:rsidRPr="00E20A56">
        <w:rPr>
          <w:rFonts w:asciiTheme="minorHAnsi" w:hAnsiTheme="minorHAnsi"/>
          <w:b/>
          <w:sz w:val="22"/>
        </w:rPr>
        <w:t xml:space="preserve">759 Kč za rok léčby </w:t>
      </w:r>
      <w:r w:rsidR="00CE0849" w:rsidRPr="00E20A56">
        <w:rPr>
          <w:rFonts w:asciiTheme="minorHAnsi" w:hAnsiTheme="minorHAnsi"/>
          <w:b/>
          <w:sz w:val="22"/>
        </w:rPr>
        <w:t>(</w:t>
      </w:r>
      <w:r w:rsidRPr="00E20A56">
        <w:rPr>
          <w:rFonts w:asciiTheme="minorHAnsi" w:hAnsiTheme="minorHAnsi"/>
          <w:b/>
          <w:sz w:val="22"/>
        </w:rPr>
        <w:t>počítáno z obvyklé terapeutické dávky použité ve správním řízení Státní</w:t>
      </w:r>
      <w:r w:rsidR="00CE0849" w:rsidRPr="00E20A56">
        <w:rPr>
          <w:rFonts w:asciiTheme="minorHAnsi" w:hAnsiTheme="minorHAnsi"/>
          <w:b/>
          <w:sz w:val="22"/>
        </w:rPr>
        <w:t>m</w:t>
      </w:r>
      <w:r w:rsidRPr="00E20A56">
        <w:rPr>
          <w:rFonts w:asciiTheme="minorHAnsi" w:hAnsiTheme="minorHAnsi"/>
          <w:b/>
          <w:sz w:val="22"/>
        </w:rPr>
        <w:t xml:space="preserve"> ústavem pro kontrolu léčiv</w:t>
      </w:r>
      <w:r w:rsidR="00CE0849" w:rsidRPr="00E20A56">
        <w:rPr>
          <w:rFonts w:asciiTheme="minorHAnsi" w:hAnsiTheme="minorHAnsi"/>
          <w:b/>
          <w:sz w:val="22"/>
        </w:rPr>
        <w:t>)</w:t>
      </w:r>
      <w:r w:rsidRPr="00E20A56">
        <w:rPr>
          <w:rFonts w:asciiTheme="minorHAnsi" w:hAnsiTheme="minorHAnsi"/>
          <w:b/>
          <w:sz w:val="22"/>
        </w:rPr>
        <w:t xml:space="preserve">. </w:t>
      </w:r>
      <w:r w:rsidR="00E20A56">
        <w:rPr>
          <w:rFonts w:asciiTheme="minorHAnsi" w:hAnsiTheme="minorHAnsi"/>
          <w:b/>
          <w:sz w:val="22"/>
        </w:rPr>
        <w:t>Pro 90 léčených pacientů v České republice t</w:t>
      </w:r>
      <w:r w:rsidRPr="00E20A56">
        <w:rPr>
          <w:rFonts w:asciiTheme="minorHAnsi" w:hAnsiTheme="minorHAnsi"/>
          <w:b/>
          <w:sz w:val="22"/>
        </w:rPr>
        <w:t xml:space="preserve">ato </w:t>
      </w:r>
      <w:r w:rsidR="00E20A56">
        <w:rPr>
          <w:rFonts w:asciiTheme="minorHAnsi" w:hAnsiTheme="minorHAnsi"/>
          <w:b/>
          <w:sz w:val="22"/>
        </w:rPr>
        <w:t>změna výše úhrady</w:t>
      </w:r>
      <w:r w:rsidRPr="00E20A56">
        <w:rPr>
          <w:rFonts w:asciiTheme="minorHAnsi" w:hAnsiTheme="minorHAnsi"/>
          <w:b/>
          <w:sz w:val="22"/>
        </w:rPr>
        <w:t xml:space="preserve"> </w:t>
      </w:r>
      <w:r w:rsidR="00952E71">
        <w:rPr>
          <w:rFonts w:asciiTheme="minorHAnsi" w:hAnsiTheme="minorHAnsi"/>
          <w:b/>
          <w:sz w:val="22"/>
        </w:rPr>
        <w:t xml:space="preserve">léčivých přípravků </w:t>
      </w:r>
      <w:r w:rsidR="00CE0849" w:rsidRPr="00E20A56">
        <w:rPr>
          <w:rFonts w:asciiTheme="minorHAnsi" w:hAnsiTheme="minorHAnsi"/>
          <w:b/>
          <w:sz w:val="22"/>
        </w:rPr>
        <w:t>představovala</w:t>
      </w:r>
      <w:r w:rsidRPr="00E20A56">
        <w:rPr>
          <w:rFonts w:asciiTheme="minorHAnsi" w:hAnsiTheme="minorHAnsi"/>
          <w:b/>
          <w:sz w:val="22"/>
        </w:rPr>
        <w:t xml:space="preserve"> v </w:t>
      </w:r>
      <w:r w:rsidR="00E20A56">
        <w:rPr>
          <w:rFonts w:asciiTheme="minorHAnsi" w:hAnsiTheme="minorHAnsi"/>
          <w:b/>
          <w:sz w:val="22"/>
        </w:rPr>
        <w:t>o</w:t>
      </w:r>
      <w:r w:rsidRPr="00E20A56">
        <w:rPr>
          <w:rFonts w:asciiTheme="minorHAnsi" w:hAnsiTheme="minorHAnsi"/>
          <w:b/>
          <w:sz w:val="22"/>
        </w:rPr>
        <w:t xml:space="preserve">bdobí let 2016 až 2018 </w:t>
      </w:r>
      <w:r w:rsidR="00E20A56">
        <w:rPr>
          <w:rFonts w:asciiTheme="minorHAnsi" w:hAnsiTheme="minorHAnsi"/>
          <w:b/>
          <w:sz w:val="22"/>
        </w:rPr>
        <w:t xml:space="preserve"> úsporu</w:t>
      </w:r>
      <w:r w:rsidR="00CE0849" w:rsidRPr="00E20A56">
        <w:rPr>
          <w:rFonts w:asciiTheme="minorHAnsi" w:hAnsiTheme="minorHAnsi"/>
          <w:b/>
          <w:sz w:val="22"/>
        </w:rPr>
        <w:t xml:space="preserve"> </w:t>
      </w:r>
      <w:r w:rsidRPr="00E20A56">
        <w:rPr>
          <w:rFonts w:asciiTheme="minorHAnsi" w:hAnsiTheme="minorHAnsi"/>
          <w:b/>
          <w:sz w:val="22"/>
        </w:rPr>
        <w:t>67.928.000 Kč</w:t>
      </w:r>
      <w:r w:rsidR="00CE0849" w:rsidRPr="00E20A56">
        <w:rPr>
          <w:rFonts w:asciiTheme="minorHAnsi" w:hAnsiTheme="minorHAnsi"/>
          <w:b/>
          <w:sz w:val="22"/>
        </w:rPr>
        <w:t xml:space="preserve">. </w:t>
      </w:r>
      <w:r w:rsidR="00952E71">
        <w:rPr>
          <w:rFonts w:asciiTheme="minorHAnsi" w:hAnsiTheme="minorHAnsi"/>
          <w:b/>
          <w:sz w:val="22"/>
        </w:rPr>
        <w:t xml:space="preserve">V současnosti probíhá další správní řízení, které povede k dalším úsporám. </w:t>
      </w:r>
      <w:r w:rsidR="00CE0849" w:rsidRPr="00E20A56">
        <w:rPr>
          <w:rFonts w:asciiTheme="minorHAnsi" w:hAnsiTheme="minorHAnsi"/>
          <w:b/>
          <w:sz w:val="22"/>
        </w:rPr>
        <w:t>V porovnání s </w:t>
      </w:r>
      <w:r w:rsidR="00952E71">
        <w:rPr>
          <w:rFonts w:asciiTheme="minorHAnsi" w:hAnsiTheme="minorHAnsi"/>
          <w:b/>
          <w:sz w:val="22"/>
        </w:rPr>
        <w:t>dosaženými</w:t>
      </w:r>
      <w:r w:rsidR="00CE0849" w:rsidRPr="00E20A56">
        <w:rPr>
          <w:rFonts w:asciiTheme="minorHAnsi" w:hAnsiTheme="minorHAnsi"/>
          <w:b/>
          <w:sz w:val="22"/>
        </w:rPr>
        <w:t xml:space="preserve"> </w:t>
      </w:r>
      <w:r w:rsidR="00E20A56">
        <w:rPr>
          <w:rFonts w:asciiTheme="minorHAnsi" w:hAnsiTheme="minorHAnsi"/>
          <w:b/>
          <w:sz w:val="22"/>
        </w:rPr>
        <w:t>úspor</w:t>
      </w:r>
      <w:r w:rsidR="00952E71">
        <w:rPr>
          <w:rFonts w:asciiTheme="minorHAnsi" w:hAnsiTheme="minorHAnsi"/>
          <w:b/>
          <w:sz w:val="22"/>
        </w:rPr>
        <w:t>ami v oblasti léčivých přípravků</w:t>
      </w:r>
      <w:r w:rsidR="00E20A56">
        <w:rPr>
          <w:rFonts w:asciiTheme="minorHAnsi" w:hAnsiTheme="minorHAnsi"/>
          <w:b/>
          <w:sz w:val="22"/>
        </w:rPr>
        <w:t xml:space="preserve"> je případné</w:t>
      </w:r>
      <w:r w:rsidR="00CE0849" w:rsidRPr="00E20A56">
        <w:rPr>
          <w:rFonts w:asciiTheme="minorHAnsi" w:hAnsiTheme="minorHAnsi"/>
          <w:b/>
          <w:sz w:val="22"/>
        </w:rPr>
        <w:t xml:space="preserve"> zvýšení nákl</w:t>
      </w:r>
      <w:r w:rsidR="007A38BE">
        <w:rPr>
          <w:rFonts w:asciiTheme="minorHAnsi" w:hAnsiTheme="minorHAnsi"/>
          <w:b/>
          <w:sz w:val="22"/>
        </w:rPr>
        <w:t>adů na </w:t>
      </w:r>
      <w:r w:rsidR="00E20A56">
        <w:rPr>
          <w:rFonts w:asciiTheme="minorHAnsi" w:hAnsiTheme="minorHAnsi"/>
          <w:b/>
          <w:sz w:val="22"/>
        </w:rPr>
        <w:t>zdravotnické prostředky</w:t>
      </w:r>
      <w:r w:rsidR="00CE0849" w:rsidRPr="00E20A56">
        <w:rPr>
          <w:rFonts w:asciiTheme="minorHAnsi" w:hAnsiTheme="minorHAnsi"/>
          <w:b/>
          <w:sz w:val="22"/>
        </w:rPr>
        <w:t xml:space="preserve"> nízké</w:t>
      </w:r>
      <w:r w:rsidR="00CE0849" w:rsidRPr="00CE0849">
        <w:rPr>
          <w:rFonts w:asciiTheme="minorHAnsi" w:hAnsiTheme="minorHAnsi"/>
          <w:b/>
          <w:sz w:val="22"/>
        </w:rPr>
        <w:t xml:space="preserve"> a je plně vyváženo</w:t>
      </w:r>
      <w:r w:rsidR="00DE7EE6" w:rsidRPr="00CE0849">
        <w:rPr>
          <w:rFonts w:asciiTheme="minorHAnsi" w:hAnsiTheme="minorHAnsi"/>
          <w:b/>
          <w:sz w:val="22"/>
        </w:rPr>
        <w:t xml:space="preserve"> prospěch</w:t>
      </w:r>
      <w:r w:rsidR="00CE0849" w:rsidRPr="00CE0849">
        <w:rPr>
          <w:rFonts w:asciiTheme="minorHAnsi" w:hAnsiTheme="minorHAnsi"/>
          <w:b/>
          <w:sz w:val="22"/>
        </w:rPr>
        <w:t>em</w:t>
      </w:r>
      <w:r w:rsidR="00E20A56">
        <w:rPr>
          <w:rFonts w:asciiTheme="minorHAnsi" w:hAnsiTheme="minorHAnsi"/>
          <w:b/>
          <w:sz w:val="22"/>
        </w:rPr>
        <w:t xml:space="preserve"> </w:t>
      </w:r>
      <w:r w:rsidR="007A38BE">
        <w:rPr>
          <w:rFonts w:asciiTheme="minorHAnsi" w:hAnsiTheme="minorHAnsi"/>
          <w:b/>
          <w:sz w:val="22"/>
        </w:rPr>
        <w:t>pojištěnců</w:t>
      </w:r>
      <w:r w:rsidR="00DE7EE6" w:rsidRPr="00CE0849">
        <w:rPr>
          <w:rFonts w:asciiTheme="minorHAnsi" w:hAnsiTheme="minorHAnsi"/>
          <w:b/>
          <w:sz w:val="22"/>
        </w:rPr>
        <w:t>.</w:t>
      </w:r>
    </w:p>
    <w:sectPr w:rsidR="00927D0D" w:rsidSect="00115E76">
      <w:footerReference w:type="even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1D4D9A" w14:textId="77777777" w:rsidR="00A41AE8" w:rsidRDefault="00A41AE8" w:rsidP="00722040">
      <w:pPr>
        <w:spacing w:after="0" w:line="240" w:lineRule="auto"/>
      </w:pPr>
      <w:r>
        <w:separator/>
      </w:r>
    </w:p>
  </w:endnote>
  <w:endnote w:type="continuationSeparator" w:id="0">
    <w:p w14:paraId="6C3AEA75" w14:textId="77777777" w:rsidR="00A41AE8" w:rsidRDefault="00A41AE8" w:rsidP="00722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tlingmes New Roman PSMT"/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inionPro-Regular">
    <w:altName w:val="Times New Roman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7842E" w14:textId="77777777" w:rsidR="00C87367" w:rsidRDefault="00C87367" w:rsidP="00EF0F7E">
    <w:pPr>
      <w:pStyle w:val="Zpat"/>
      <w:framePr w:wrap="none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C3D5AF6" w14:textId="77777777" w:rsidR="00C87367" w:rsidRDefault="00C87367" w:rsidP="0072204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37AA2" w14:textId="77777777" w:rsidR="00C87367" w:rsidRDefault="00C87367" w:rsidP="00EF0F7E">
    <w:pPr>
      <w:pStyle w:val="Zpat"/>
      <w:framePr w:wrap="none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52E71">
      <w:rPr>
        <w:rStyle w:val="slostrnky"/>
        <w:noProof/>
      </w:rPr>
      <w:t>4</w:t>
    </w:r>
    <w:r>
      <w:rPr>
        <w:rStyle w:val="slostrnky"/>
      </w:rPr>
      <w:fldChar w:fldCharType="end"/>
    </w:r>
  </w:p>
  <w:p w14:paraId="1A323121" w14:textId="77777777" w:rsidR="00C87367" w:rsidRDefault="00C87367" w:rsidP="0072204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047D1E" w14:textId="77777777" w:rsidR="00A41AE8" w:rsidRDefault="00A41AE8" w:rsidP="00722040">
      <w:pPr>
        <w:spacing w:after="0" w:line="240" w:lineRule="auto"/>
      </w:pPr>
      <w:r>
        <w:separator/>
      </w:r>
    </w:p>
  </w:footnote>
  <w:footnote w:type="continuationSeparator" w:id="0">
    <w:p w14:paraId="34D5ED79" w14:textId="77777777" w:rsidR="00A41AE8" w:rsidRDefault="00A41AE8" w:rsidP="007220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11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160A"/>
    <w:rsid w:val="0009304F"/>
    <w:rsid w:val="000D160A"/>
    <w:rsid w:val="000F133A"/>
    <w:rsid w:val="00113AB1"/>
    <w:rsid w:val="00115E76"/>
    <w:rsid w:val="00172F6F"/>
    <w:rsid w:val="001C54ED"/>
    <w:rsid w:val="0021116F"/>
    <w:rsid w:val="00263264"/>
    <w:rsid w:val="0027390D"/>
    <w:rsid w:val="002A3BCE"/>
    <w:rsid w:val="002A55A2"/>
    <w:rsid w:val="002D7A95"/>
    <w:rsid w:val="00312030"/>
    <w:rsid w:val="003445D6"/>
    <w:rsid w:val="00410B31"/>
    <w:rsid w:val="00487582"/>
    <w:rsid w:val="004D7EB4"/>
    <w:rsid w:val="00506E78"/>
    <w:rsid w:val="00545299"/>
    <w:rsid w:val="005D0CE9"/>
    <w:rsid w:val="00625347"/>
    <w:rsid w:val="006B40D0"/>
    <w:rsid w:val="006D2D1D"/>
    <w:rsid w:val="00722040"/>
    <w:rsid w:val="007A38BE"/>
    <w:rsid w:val="007C7D41"/>
    <w:rsid w:val="00837666"/>
    <w:rsid w:val="008A1CA8"/>
    <w:rsid w:val="008A36B7"/>
    <w:rsid w:val="008B29C0"/>
    <w:rsid w:val="00927D0D"/>
    <w:rsid w:val="00952E71"/>
    <w:rsid w:val="009B3F0D"/>
    <w:rsid w:val="00A05D5C"/>
    <w:rsid w:val="00A41AE8"/>
    <w:rsid w:val="00A550A1"/>
    <w:rsid w:val="00A75C05"/>
    <w:rsid w:val="00AC1047"/>
    <w:rsid w:val="00AD3DFF"/>
    <w:rsid w:val="00AF572B"/>
    <w:rsid w:val="00B32402"/>
    <w:rsid w:val="00B74B7F"/>
    <w:rsid w:val="00BF157D"/>
    <w:rsid w:val="00C87367"/>
    <w:rsid w:val="00C91459"/>
    <w:rsid w:val="00CA21C9"/>
    <w:rsid w:val="00CD63A0"/>
    <w:rsid w:val="00CE0849"/>
    <w:rsid w:val="00D55049"/>
    <w:rsid w:val="00DE7EE6"/>
    <w:rsid w:val="00E01289"/>
    <w:rsid w:val="00E20A56"/>
    <w:rsid w:val="00E350CC"/>
    <w:rsid w:val="00EA6A4E"/>
    <w:rsid w:val="00EC1140"/>
    <w:rsid w:val="00EE77A5"/>
    <w:rsid w:val="00EF0F7E"/>
    <w:rsid w:val="00EF186A"/>
    <w:rsid w:val="00FD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,"/>
  <w:listSeparator w:val=";"/>
  <w14:docId w14:val="7DED3A49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</w:style>
  <w:style w:type="paragraph" w:styleId="Nadpis1">
    <w:name w:val="heading 1"/>
    <w:basedOn w:val="Normln"/>
    <w:next w:val="Normln"/>
    <w:qFormat/>
    <w:pPr>
      <w:keepNext/>
      <w:spacing w:line="240" w:lineRule="auto"/>
      <w:jc w:val="center"/>
      <w:outlineLvl w:val="0"/>
    </w:pPr>
  </w:style>
  <w:style w:type="paragraph" w:styleId="Nadpis2">
    <w:name w:val="heading 2"/>
    <w:basedOn w:val="Normln"/>
    <w:next w:val="Normln"/>
    <w:qFormat/>
    <w:pPr>
      <w:keepNext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Odkaznakoment1">
    <w:name w:val="Odkaz na komentář1"/>
    <w:basedOn w:val="Standardnpsmoodstavce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TextbublinyChar">
    <w:name w:val="Text bubliny Char"/>
    <w:basedOn w:val="Standardnpsmoodstavce1"/>
  </w:style>
  <w:style w:type="character" w:customStyle="1" w:styleId="PedmtkomenteChar">
    <w:name w:val="Předmět komentáře Char"/>
    <w:basedOn w:val="TextkomenteChar"/>
  </w:style>
  <w:style w:type="paragraph" w:customStyle="1" w:styleId="Nadpis">
    <w:name w:val="Nadpis"/>
    <w:basedOn w:val="Normln"/>
    <w:next w:val="Zkladntext"/>
    <w:pPr>
      <w:keepNext/>
      <w:spacing w:before="240" w:after="120"/>
    </w:p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extkomente1">
    <w:name w:val="Text komentáře1"/>
    <w:basedOn w:val="Normln"/>
    <w:pPr>
      <w:spacing w:line="100" w:lineRule="atLeast"/>
    </w:pPr>
  </w:style>
  <w:style w:type="paragraph" w:customStyle="1" w:styleId="Textbubliny1">
    <w:name w:val="Text bubliny1"/>
    <w:basedOn w:val="Normln"/>
    <w:pPr>
      <w:spacing w:after="0" w:line="100" w:lineRule="atLeast"/>
    </w:pPr>
  </w:style>
  <w:style w:type="paragraph" w:customStyle="1" w:styleId="Pedmtkomente1">
    <w:name w:val="Předmět komentáře1"/>
    <w:basedOn w:val="Textkomente1"/>
    <w:rPr>
      <w:b/>
      <w:bCs/>
    </w:rPr>
  </w:style>
  <w:style w:type="paragraph" w:customStyle="1" w:styleId="Revize1">
    <w:name w:val="Revize1"/>
    <w:pPr>
      <w:suppressAutoHyphens/>
      <w:spacing w:line="100" w:lineRule="atLeast"/>
    </w:pPr>
  </w:style>
  <w:style w:type="paragraph" w:customStyle="1" w:styleId="Nadpispozmn">
    <w:name w:val="Nadpis pozm.n."/>
    <w:basedOn w:val="Normln"/>
    <w:next w:val="Normln"/>
    <w:pPr>
      <w:keepNext/>
      <w:keepLines/>
      <w:spacing w:after="120" w:line="240" w:lineRule="auto"/>
    </w:pPr>
  </w:style>
  <w:style w:type="paragraph" w:customStyle="1" w:styleId="nadpiszkona">
    <w:name w:val="nadpis zákona"/>
    <w:basedOn w:val="Normln"/>
    <w:next w:val="Normln"/>
    <w:pPr>
      <w:keepNext/>
      <w:keepLines/>
      <w:spacing w:before="120" w:after="0" w:line="240" w:lineRule="auto"/>
      <w:jc w:val="center"/>
    </w:pPr>
  </w:style>
  <w:style w:type="paragraph" w:customStyle="1" w:styleId="l6">
    <w:name w:val="l6"/>
    <w:basedOn w:val="Normln"/>
    <w:rsid w:val="009B3F0D"/>
    <w:pPr>
      <w:suppressAutoHyphens w:val="0"/>
      <w:spacing w:before="100" w:beforeAutospacing="1" w:after="100" w:afterAutospacing="1" w:line="240" w:lineRule="auto"/>
    </w:pPr>
    <w:rPr>
      <w:rFonts w:eastAsia="Calibri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2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2040"/>
  </w:style>
  <w:style w:type="character" w:styleId="slostrnky">
    <w:name w:val="page number"/>
    <w:basedOn w:val="Standardnpsmoodstavce"/>
    <w:uiPriority w:val="99"/>
    <w:semiHidden/>
    <w:unhideWhenUsed/>
    <w:rsid w:val="00722040"/>
  </w:style>
  <w:style w:type="paragraph" w:styleId="Textbubliny">
    <w:name w:val="Balloon Text"/>
    <w:basedOn w:val="Normln"/>
    <w:link w:val="TextbublinyChar1"/>
    <w:uiPriority w:val="99"/>
    <w:semiHidden/>
    <w:unhideWhenUsed/>
    <w:rsid w:val="002A3BCE"/>
    <w:pPr>
      <w:spacing w:after="0" w:line="240" w:lineRule="auto"/>
    </w:pPr>
    <w:rPr>
      <w:sz w:val="18"/>
      <w:szCs w:val="18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rsid w:val="002A3B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82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1495</Words>
  <Characters>8303</Characters>
  <Application>Microsoft Office Word</Application>
  <DocSecurity>0</DocSecurity>
  <Lines>148</Lines>
  <Paragraphs>89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9709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2015-04-03T07:01:00Z</cp:lastPrinted>
  <dcterms:created xsi:type="dcterms:W3CDTF">2018-09-10T15:24:00Z</dcterms:created>
  <dcterms:modified xsi:type="dcterms:W3CDTF">2018-09-10T15:59:00Z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MZČR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